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8444F2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F7ACE75"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2360F" w:rsidRDefault="009D71E8">
      <w:pPr>
        <w:pStyle w:val="Heading2"/>
        <w:rPr>
          <w:color w:val="CC99FF"/>
        </w:rPr>
      </w:pPr>
      <w:r w:rsidRPr="00E2360F">
        <w:rPr>
          <w:color w:val="CC99FF"/>
        </w:rPr>
        <w:t>School overview</w:t>
      </w:r>
      <w:bookmarkEnd w:id="5"/>
      <w:bookmarkEnd w:id="6"/>
      <w:bookmarkEnd w:id="7"/>
      <w:bookmarkEnd w:id="8"/>
      <w:bookmarkEnd w:id="9"/>
      <w:bookmarkEnd w:id="10"/>
      <w:bookmarkEnd w:id="11"/>
      <w:bookmarkEnd w:id="12"/>
      <w:bookmarkEnd w:id="13"/>
    </w:p>
    <w:tbl>
      <w:tblPr>
        <w:tblW w:w="5000" w:type="pct"/>
        <w:jc w:val="center"/>
        <w:tblCellMar>
          <w:left w:w="10" w:type="dxa"/>
          <w:right w:w="10" w:type="dxa"/>
        </w:tblCellMar>
        <w:tblLook w:val="04A0" w:firstRow="1" w:lastRow="0" w:firstColumn="1" w:lastColumn="0" w:noHBand="0" w:noVBand="1"/>
      </w:tblPr>
      <w:tblGrid>
        <w:gridCol w:w="6232"/>
        <w:gridCol w:w="3254"/>
      </w:tblGrid>
      <w:tr w:rsidR="00E66558" w14:paraId="2A7D54B7"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5F74F8" w:rsidRDefault="009D71E8">
            <w:pPr>
              <w:pStyle w:val="TableRow"/>
              <w:rPr>
                <w:sz w:val="20"/>
                <w:szCs w:val="20"/>
              </w:rPr>
            </w:pPr>
            <w:r w:rsidRPr="005F74F8">
              <w:rPr>
                <w:sz w:val="20"/>
                <w:szCs w:val="20"/>
              </w:rP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E8A4B23" w:rsidR="00E66558" w:rsidRPr="005F74F8" w:rsidRDefault="00160A5B">
            <w:pPr>
              <w:pStyle w:val="TableRow"/>
              <w:rPr>
                <w:sz w:val="20"/>
                <w:szCs w:val="20"/>
              </w:rPr>
            </w:pPr>
            <w:r w:rsidRPr="005F74F8">
              <w:rPr>
                <w:sz w:val="20"/>
                <w:szCs w:val="20"/>
              </w:rPr>
              <w:t>RIVERSIDE PRIMARY SCHOOL</w:t>
            </w:r>
          </w:p>
        </w:tc>
      </w:tr>
      <w:tr w:rsidR="00E66558" w14:paraId="2A7D54BD"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5F74F8" w:rsidRDefault="009D71E8">
            <w:pPr>
              <w:pStyle w:val="TableRow"/>
              <w:rPr>
                <w:sz w:val="20"/>
                <w:szCs w:val="20"/>
              </w:rPr>
            </w:pPr>
            <w:r w:rsidRPr="005F74F8">
              <w:rPr>
                <w:sz w:val="20"/>
                <w:szCs w:val="20"/>
              </w:rP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7852322" w:rsidR="00E66558" w:rsidRPr="005F74F8" w:rsidRDefault="002308C4">
            <w:pPr>
              <w:pStyle w:val="TableRow"/>
              <w:rPr>
                <w:sz w:val="20"/>
                <w:szCs w:val="20"/>
              </w:rPr>
            </w:pPr>
            <w:r>
              <w:rPr>
                <w:sz w:val="20"/>
                <w:szCs w:val="20"/>
              </w:rPr>
              <w:t>2</w:t>
            </w:r>
            <w:r w:rsidR="00EA6BF1">
              <w:rPr>
                <w:sz w:val="20"/>
                <w:szCs w:val="20"/>
              </w:rPr>
              <w:t>8</w:t>
            </w:r>
            <w:r>
              <w:rPr>
                <w:sz w:val="20"/>
                <w:szCs w:val="20"/>
              </w:rPr>
              <w:t>5</w:t>
            </w:r>
          </w:p>
        </w:tc>
      </w:tr>
      <w:tr w:rsidR="00E66558" w14:paraId="2A7D54C0"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5F74F8" w:rsidRDefault="009D71E8">
            <w:pPr>
              <w:pStyle w:val="TableRow"/>
              <w:rPr>
                <w:sz w:val="20"/>
                <w:szCs w:val="20"/>
              </w:rPr>
            </w:pPr>
            <w:r w:rsidRPr="005F74F8">
              <w:rPr>
                <w:sz w:val="20"/>
                <w:szCs w:val="20"/>
              </w:rP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E906B5" w:rsidR="00E66558" w:rsidRPr="005F74F8" w:rsidRDefault="00EA6BF1">
            <w:pPr>
              <w:pStyle w:val="TableRow"/>
              <w:rPr>
                <w:sz w:val="20"/>
                <w:szCs w:val="20"/>
              </w:rPr>
            </w:pPr>
            <w:r>
              <w:rPr>
                <w:sz w:val="20"/>
                <w:szCs w:val="20"/>
              </w:rPr>
              <w:t>33</w:t>
            </w:r>
            <w:r w:rsidR="00160A5B" w:rsidRPr="005F74F8">
              <w:rPr>
                <w:sz w:val="20"/>
                <w:szCs w:val="20"/>
              </w:rPr>
              <w:t>%</w:t>
            </w:r>
          </w:p>
        </w:tc>
      </w:tr>
      <w:tr w:rsidR="00E66558" w14:paraId="2A7D54C3"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B4FCC84" w:rsidR="00E66558" w:rsidRPr="005F74F8" w:rsidRDefault="009D71E8">
            <w:pPr>
              <w:pStyle w:val="TableRow"/>
              <w:rPr>
                <w:sz w:val="20"/>
                <w:szCs w:val="20"/>
              </w:rPr>
            </w:pPr>
            <w:r w:rsidRPr="005F74F8">
              <w:rPr>
                <w:sz w:val="20"/>
                <w:szCs w:val="20"/>
              </w:rPr>
              <w:t xml:space="preserve">Academic year/years that our current pupil premium strategy plan covers </w:t>
            </w:r>
            <w:r w:rsidRPr="005F74F8">
              <w:rPr>
                <w:b/>
                <w:bCs/>
                <w:sz w:val="20"/>
                <w:szCs w:val="20"/>
              </w:rPr>
              <w:t>(3</w:t>
            </w:r>
            <w:r w:rsidR="005F74F8">
              <w:rPr>
                <w:b/>
                <w:bCs/>
                <w:sz w:val="20"/>
                <w:szCs w:val="20"/>
              </w:rPr>
              <w:t>-</w:t>
            </w:r>
            <w:r w:rsidRPr="005F74F8">
              <w:rPr>
                <w:b/>
                <w:bCs/>
                <w:sz w:val="20"/>
                <w:szCs w:val="20"/>
              </w:rPr>
              <w:t>year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723569" w:rsidR="00E66558" w:rsidRPr="005F74F8" w:rsidRDefault="00160A5B">
            <w:pPr>
              <w:pStyle w:val="TableRow"/>
              <w:rPr>
                <w:sz w:val="20"/>
                <w:szCs w:val="20"/>
              </w:rPr>
            </w:pPr>
            <w:r w:rsidRPr="005F74F8">
              <w:rPr>
                <w:sz w:val="20"/>
                <w:szCs w:val="20"/>
              </w:rPr>
              <w:t>202</w:t>
            </w:r>
            <w:r w:rsidR="00E34691">
              <w:rPr>
                <w:sz w:val="20"/>
                <w:szCs w:val="20"/>
              </w:rPr>
              <w:t>2</w:t>
            </w:r>
            <w:r w:rsidRPr="005F74F8">
              <w:rPr>
                <w:sz w:val="20"/>
                <w:szCs w:val="20"/>
              </w:rPr>
              <w:t>-202</w:t>
            </w:r>
            <w:r w:rsidR="00E34691">
              <w:rPr>
                <w:sz w:val="20"/>
                <w:szCs w:val="20"/>
              </w:rPr>
              <w:t>5</w:t>
            </w:r>
          </w:p>
        </w:tc>
      </w:tr>
      <w:tr w:rsidR="00E66558" w14:paraId="2A7D54C6"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5F74F8" w:rsidRDefault="009D71E8">
            <w:pPr>
              <w:pStyle w:val="TableRow"/>
              <w:rPr>
                <w:sz w:val="20"/>
                <w:szCs w:val="20"/>
              </w:rPr>
            </w:pPr>
            <w:r w:rsidRPr="005F74F8">
              <w:rPr>
                <w:sz w:val="20"/>
                <w:szCs w:val="20"/>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810118" w:rsidR="00E66558" w:rsidRPr="005F74F8" w:rsidRDefault="00160A5B">
            <w:pPr>
              <w:pStyle w:val="TableRow"/>
              <w:rPr>
                <w:sz w:val="20"/>
                <w:szCs w:val="20"/>
              </w:rPr>
            </w:pPr>
            <w:r w:rsidRPr="005F74F8">
              <w:rPr>
                <w:sz w:val="20"/>
                <w:szCs w:val="20"/>
              </w:rPr>
              <w:t>SEPTEMBER 202</w:t>
            </w:r>
            <w:r w:rsidR="002308C4">
              <w:rPr>
                <w:sz w:val="20"/>
                <w:szCs w:val="20"/>
              </w:rPr>
              <w:t>3</w:t>
            </w:r>
          </w:p>
        </w:tc>
      </w:tr>
      <w:tr w:rsidR="00E66558" w14:paraId="2A7D54C9"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5F74F8" w:rsidRDefault="009D71E8">
            <w:pPr>
              <w:pStyle w:val="TableRow"/>
              <w:rPr>
                <w:sz w:val="20"/>
                <w:szCs w:val="20"/>
              </w:rPr>
            </w:pPr>
            <w:r w:rsidRPr="005F74F8">
              <w:rPr>
                <w:sz w:val="20"/>
                <w:szCs w:val="20"/>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FCBE4B0" w:rsidR="00E66558" w:rsidRPr="005F74F8" w:rsidRDefault="00160A5B">
            <w:pPr>
              <w:pStyle w:val="TableRow"/>
              <w:rPr>
                <w:sz w:val="20"/>
                <w:szCs w:val="20"/>
              </w:rPr>
            </w:pPr>
            <w:r w:rsidRPr="005F74F8">
              <w:rPr>
                <w:sz w:val="20"/>
                <w:szCs w:val="20"/>
              </w:rPr>
              <w:t>JULY 202</w:t>
            </w:r>
            <w:r w:rsidR="00125FD8">
              <w:rPr>
                <w:sz w:val="20"/>
                <w:szCs w:val="20"/>
              </w:rPr>
              <w:t>4</w:t>
            </w:r>
          </w:p>
        </w:tc>
      </w:tr>
      <w:tr w:rsidR="00E66558" w14:paraId="2A7D54CC"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5F74F8" w:rsidRDefault="009D71E8">
            <w:pPr>
              <w:pStyle w:val="TableRow"/>
              <w:rPr>
                <w:sz w:val="20"/>
                <w:szCs w:val="20"/>
              </w:rPr>
            </w:pPr>
            <w:r w:rsidRPr="005F74F8">
              <w:rPr>
                <w:sz w:val="20"/>
                <w:szCs w:val="20"/>
              </w:rP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5E6BEC4" w:rsidR="00E66558" w:rsidRPr="005F74F8" w:rsidRDefault="00160A5B" w:rsidP="00160A5B">
            <w:pPr>
              <w:pStyle w:val="TableRow"/>
              <w:ind w:left="0"/>
              <w:rPr>
                <w:sz w:val="20"/>
                <w:szCs w:val="20"/>
              </w:rPr>
            </w:pPr>
            <w:r w:rsidRPr="005F74F8">
              <w:rPr>
                <w:sz w:val="20"/>
                <w:szCs w:val="20"/>
              </w:rPr>
              <w:t xml:space="preserve"> HEADTEACHER</w:t>
            </w:r>
            <w:r w:rsidR="002308C4">
              <w:rPr>
                <w:sz w:val="20"/>
                <w:szCs w:val="20"/>
              </w:rPr>
              <w:t>S</w:t>
            </w:r>
          </w:p>
        </w:tc>
      </w:tr>
      <w:tr w:rsidR="00E66558" w14:paraId="2A7D54CF"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5F74F8" w:rsidRDefault="009D71E8">
            <w:pPr>
              <w:pStyle w:val="TableRow"/>
              <w:rPr>
                <w:sz w:val="20"/>
                <w:szCs w:val="20"/>
              </w:rPr>
            </w:pPr>
            <w:r w:rsidRPr="005F74F8">
              <w:rPr>
                <w:sz w:val="20"/>
                <w:szCs w:val="20"/>
              </w:rP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83B5943" w:rsidR="00E66558" w:rsidRPr="005F74F8" w:rsidRDefault="00E34691">
            <w:pPr>
              <w:pStyle w:val="TableRow"/>
              <w:rPr>
                <w:sz w:val="20"/>
                <w:szCs w:val="20"/>
              </w:rPr>
            </w:pPr>
            <w:r>
              <w:rPr>
                <w:sz w:val="20"/>
                <w:szCs w:val="20"/>
              </w:rPr>
              <w:t>SLT</w:t>
            </w:r>
          </w:p>
        </w:tc>
      </w:tr>
      <w:tr w:rsidR="00E66558" w14:paraId="2A7D54D2" w14:textId="77777777" w:rsidTr="00125FD8">
        <w:trPr>
          <w:jc w:val="center"/>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5F74F8" w:rsidRDefault="009D71E8">
            <w:pPr>
              <w:pStyle w:val="TableRow"/>
              <w:rPr>
                <w:sz w:val="20"/>
                <w:szCs w:val="20"/>
              </w:rPr>
            </w:pPr>
            <w:r w:rsidRPr="005F74F8">
              <w:rPr>
                <w:sz w:val="20"/>
                <w:szCs w:val="20"/>
              </w:rPr>
              <w:t>Governor / Trustee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50AC4F" w:rsidR="00E66558" w:rsidRPr="005F74F8" w:rsidRDefault="00160A5B">
            <w:pPr>
              <w:pStyle w:val="TableRow"/>
              <w:rPr>
                <w:sz w:val="20"/>
                <w:szCs w:val="20"/>
              </w:rPr>
            </w:pPr>
            <w:r w:rsidRPr="005F74F8">
              <w:rPr>
                <w:sz w:val="20"/>
                <w:szCs w:val="20"/>
              </w:rPr>
              <w:t>CHAIR OF GOVERNORS</w:t>
            </w:r>
          </w:p>
        </w:tc>
      </w:tr>
    </w:tbl>
    <w:bookmarkEnd w:id="2"/>
    <w:bookmarkEnd w:id="3"/>
    <w:bookmarkEnd w:id="4"/>
    <w:p w14:paraId="2A7D54D3" w14:textId="77777777" w:rsidR="00E66558" w:rsidRPr="00E2360F" w:rsidRDefault="009D71E8">
      <w:pPr>
        <w:spacing w:before="480" w:line="240" w:lineRule="auto"/>
        <w:rPr>
          <w:b/>
          <w:color w:val="CC99FF"/>
          <w:sz w:val="32"/>
          <w:szCs w:val="32"/>
        </w:rPr>
      </w:pPr>
      <w:r w:rsidRPr="00E2360F">
        <w:rPr>
          <w:b/>
          <w:color w:val="CC99FF"/>
          <w:sz w:val="32"/>
          <w:szCs w:val="32"/>
        </w:rPr>
        <w:t>Funding overview</w:t>
      </w:r>
    </w:p>
    <w:tbl>
      <w:tblPr>
        <w:tblW w:w="9486" w:type="dxa"/>
        <w:jc w:val="center"/>
        <w:tblCellMar>
          <w:left w:w="10" w:type="dxa"/>
          <w:right w:w="10" w:type="dxa"/>
        </w:tblCellMar>
        <w:tblLook w:val="04A0" w:firstRow="1" w:lastRow="0" w:firstColumn="1" w:lastColumn="0" w:noHBand="0" w:noVBand="1"/>
      </w:tblPr>
      <w:tblGrid>
        <w:gridCol w:w="6516"/>
        <w:gridCol w:w="2970"/>
      </w:tblGrid>
      <w:tr w:rsidR="00E66558" w14:paraId="2A7D54D6" w14:textId="77777777" w:rsidTr="005F74F8">
        <w:trPr>
          <w:trHeight w:val="374"/>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5F74F8">
        <w:trPr>
          <w:trHeight w:val="374"/>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5F74F8" w:rsidRDefault="009D71E8">
            <w:pPr>
              <w:pStyle w:val="TableRow"/>
              <w:rPr>
                <w:sz w:val="20"/>
                <w:szCs w:val="20"/>
              </w:rPr>
            </w:pPr>
            <w:r w:rsidRPr="005F74F8">
              <w:rPr>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C11024" w:rsidR="00E66558" w:rsidRPr="005F74F8" w:rsidRDefault="009D71E8">
            <w:pPr>
              <w:pStyle w:val="TableRow"/>
              <w:rPr>
                <w:sz w:val="20"/>
                <w:szCs w:val="20"/>
              </w:rPr>
            </w:pPr>
            <w:r w:rsidRPr="005F74F8">
              <w:rPr>
                <w:sz w:val="20"/>
                <w:szCs w:val="20"/>
              </w:rPr>
              <w:t>£</w:t>
            </w:r>
            <w:r w:rsidR="00E34691">
              <w:rPr>
                <w:sz w:val="20"/>
                <w:szCs w:val="20"/>
              </w:rPr>
              <w:t>16</w:t>
            </w:r>
            <w:r w:rsidR="002308C4">
              <w:rPr>
                <w:sz w:val="20"/>
                <w:szCs w:val="20"/>
              </w:rPr>
              <w:t>8,780</w:t>
            </w:r>
          </w:p>
        </w:tc>
      </w:tr>
      <w:tr w:rsidR="00E66558" w14:paraId="2A7D54DC" w14:textId="77777777" w:rsidTr="005F74F8">
        <w:trPr>
          <w:trHeight w:val="374"/>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5F74F8" w:rsidRDefault="009D71E8">
            <w:pPr>
              <w:pStyle w:val="TableRow"/>
              <w:rPr>
                <w:sz w:val="20"/>
                <w:szCs w:val="20"/>
              </w:rPr>
            </w:pPr>
            <w:r w:rsidRPr="005F74F8">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42A6BD6" w:rsidR="00E66558" w:rsidRPr="005F74F8" w:rsidRDefault="009D71E8">
            <w:pPr>
              <w:pStyle w:val="TableRow"/>
              <w:rPr>
                <w:sz w:val="20"/>
                <w:szCs w:val="20"/>
              </w:rPr>
            </w:pPr>
            <w:r w:rsidRPr="005F74F8">
              <w:rPr>
                <w:sz w:val="20"/>
                <w:szCs w:val="20"/>
              </w:rPr>
              <w:t>£</w:t>
            </w:r>
            <w:r w:rsidR="002308C4">
              <w:rPr>
                <w:sz w:val="20"/>
                <w:szCs w:val="20"/>
              </w:rPr>
              <w:t>16,965</w:t>
            </w:r>
          </w:p>
        </w:tc>
      </w:tr>
      <w:tr w:rsidR="00E66558" w14:paraId="2A7D54DF" w14:textId="77777777" w:rsidTr="005F74F8">
        <w:trPr>
          <w:trHeight w:val="374"/>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5F74F8" w:rsidRDefault="009D71E8">
            <w:pPr>
              <w:pStyle w:val="TableRow"/>
              <w:rPr>
                <w:sz w:val="20"/>
                <w:szCs w:val="20"/>
              </w:rPr>
            </w:pPr>
            <w:r w:rsidRPr="005F74F8">
              <w:rPr>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28B738" w:rsidR="00E66558" w:rsidRPr="005F74F8" w:rsidRDefault="009D71E8">
            <w:pPr>
              <w:pStyle w:val="TableRow"/>
              <w:rPr>
                <w:sz w:val="20"/>
                <w:szCs w:val="20"/>
              </w:rPr>
            </w:pPr>
            <w:r w:rsidRPr="005F74F8">
              <w:rPr>
                <w:sz w:val="20"/>
                <w:szCs w:val="20"/>
              </w:rPr>
              <w:t>£</w:t>
            </w:r>
            <w:r w:rsidR="002245D4" w:rsidRPr="005F74F8">
              <w:rPr>
                <w:sz w:val="20"/>
                <w:szCs w:val="20"/>
              </w:rPr>
              <w:t>0</w:t>
            </w:r>
          </w:p>
        </w:tc>
      </w:tr>
      <w:tr w:rsidR="00E66558" w14:paraId="2A7D54E3" w14:textId="77777777" w:rsidTr="005F74F8">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5F74F8" w:rsidRDefault="009D71E8">
            <w:pPr>
              <w:pStyle w:val="TableRow"/>
              <w:rPr>
                <w:b/>
                <w:sz w:val="20"/>
                <w:szCs w:val="20"/>
              </w:rPr>
            </w:pPr>
            <w:r w:rsidRPr="005F74F8">
              <w:rPr>
                <w:b/>
                <w:sz w:val="20"/>
                <w:szCs w:val="20"/>
              </w:rPr>
              <w:t>Total budget for this academic year</w:t>
            </w:r>
          </w:p>
          <w:p w14:paraId="2A7D54E1" w14:textId="77777777" w:rsidR="00E66558" w:rsidRPr="005F74F8" w:rsidRDefault="009D71E8">
            <w:pPr>
              <w:pStyle w:val="TableRow"/>
              <w:rPr>
                <w:sz w:val="20"/>
                <w:szCs w:val="20"/>
              </w:rPr>
            </w:pPr>
            <w:r w:rsidRPr="005F74F8">
              <w:rPr>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9E3D94B" w:rsidR="00E66558" w:rsidRPr="005F74F8" w:rsidRDefault="009D71E8">
            <w:pPr>
              <w:pStyle w:val="TableRow"/>
              <w:rPr>
                <w:sz w:val="20"/>
                <w:szCs w:val="20"/>
              </w:rPr>
            </w:pPr>
            <w:r w:rsidRPr="005F74F8">
              <w:rPr>
                <w:sz w:val="20"/>
                <w:szCs w:val="20"/>
              </w:rPr>
              <w:t>£</w:t>
            </w:r>
            <w:r w:rsidR="00E34691">
              <w:rPr>
                <w:sz w:val="20"/>
                <w:szCs w:val="20"/>
              </w:rPr>
              <w:t>1</w:t>
            </w:r>
            <w:r w:rsidR="002308C4">
              <w:rPr>
                <w:sz w:val="20"/>
                <w:szCs w:val="20"/>
              </w:rPr>
              <w:t>85,745</w:t>
            </w:r>
          </w:p>
        </w:tc>
      </w:tr>
    </w:tbl>
    <w:p w14:paraId="2A7D54E4" w14:textId="2DDDD38D" w:rsidR="00E66558" w:rsidRPr="00E2360F" w:rsidRDefault="009D71E8">
      <w:pPr>
        <w:pStyle w:val="Heading1"/>
        <w:rPr>
          <w:color w:val="CC99FF"/>
        </w:rPr>
      </w:pPr>
      <w:r w:rsidRPr="00E2360F">
        <w:rPr>
          <w:color w:val="CC99FF"/>
        </w:rPr>
        <w:lastRenderedPageBreak/>
        <w:t>Part A: Pupil premium strategy plan</w:t>
      </w:r>
    </w:p>
    <w:p w14:paraId="2A7D54E5" w14:textId="7703B309" w:rsidR="00E66558" w:rsidRDefault="009D71E8">
      <w:pPr>
        <w:pStyle w:val="Heading2"/>
      </w:pPr>
      <w:bookmarkStart w:id="14" w:name="_Toc357771640"/>
      <w:bookmarkStart w:id="15" w:name="_Toc346793418"/>
      <w:r>
        <w:t>Statement of intent</w:t>
      </w:r>
    </w:p>
    <w:p w14:paraId="28C53501" w14:textId="74614113" w:rsidR="00C54976" w:rsidRPr="005F74F8" w:rsidRDefault="00C54976" w:rsidP="00964FC0">
      <w:pPr>
        <w:tabs>
          <w:tab w:val="left" w:pos="7200"/>
        </w:tabs>
        <w:ind w:left="57" w:right="228"/>
        <w:jc w:val="both"/>
        <w:rPr>
          <w:i/>
          <w:sz w:val="20"/>
          <w:szCs w:val="20"/>
        </w:rPr>
      </w:pPr>
      <w:r w:rsidRPr="005F74F8">
        <w:rPr>
          <w:i/>
          <w:sz w:val="20"/>
          <w:szCs w:val="20"/>
        </w:rPr>
        <w:t>We are</w:t>
      </w:r>
      <w:r w:rsidR="002245D4" w:rsidRPr="005F74F8">
        <w:rPr>
          <w:i/>
          <w:sz w:val="20"/>
          <w:szCs w:val="20"/>
        </w:rPr>
        <w:t xml:space="preserve"> committed to policies and practices </w:t>
      </w:r>
      <w:r w:rsidRPr="005F74F8">
        <w:rPr>
          <w:i/>
          <w:sz w:val="20"/>
          <w:szCs w:val="20"/>
        </w:rPr>
        <w:t xml:space="preserve">that </w:t>
      </w:r>
      <w:r w:rsidR="002245D4" w:rsidRPr="005F74F8">
        <w:rPr>
          <w:i/>
          <w:sz w:val="20"/>
          <w:szCs w:val="20"/>
        </w:rPr>
        <w:t>promote equ</w:t>
      </w:r>
      <w:r w:rsidRPr="005F74F8">
        <w:rPr>
          <w:i/>
          <w:sz w:val="20"/>
          <w:szCs w:val="20"/>
        </w:rPr>
        <w:t>ity</w:t>
      </w:r>
      <w:r w:rsidR="002245D4" w:rsidRPr="005F74F8">
        <w:rPr>
          <w:i/>
          <w:sz w:val="20"/>
          <w:szCs w:val="20"/>
        </w:rPr>
        <w:t xml:space="preserve"> for </w:t>
      </w:r>
      <w:r w:rsidRPr="005F74F8">
        <w:rPr>
          <w:i/>
          <w:sz w:val="20"/>
          <w:szCs w:val="20"/>
        </w:rPr>
        <w:t>all</w:t>
      </w:r>
      <w:r w:rsidR="002245D4" w:rsidRPr="005F74F8">
        <w:rPr>
          <w:i/>
          <w:sz w:val="20"/>
          <w:szCs w:val="20"/>
        </w:rPr>
        <w:t xml:space="preserve"> childre</w:t>
      </w:r>
      <w:r w:rsidRPr="005F74F8">
        <w:rPr>
          <w:i/>
          <w:sz w:val="20"/>
          <w:szCs w:val="20"/>
        </w:rPr>
        <w:t xml:space="preserve">n; </w:t>
      </w:r>
      <w:r w:rsidR="002245D4" w:rsidRPr="005F74F8">
        <w:rPr>
          <w:i/>
          <w:sz w:val="20"/>
          <w:szCs w:val="20"/>
        </w:rPr>
        <w:t xml:space="preserve">everyone </w:t>
      </w:r>
      <w:r w:rsidRPr="005F74F8">
        <w:rPr>
          <w:i/>
          <w:sz w:val="20"/>
          <w:szCs w:val="20"/>
        </w:rPr>
        <w:t>will have</w:t>
      </w:r>
      <w:r w:rsidR="002245D4" w:rsidRPr="005F74F8">
        <w:rPr>
          <w:i/>
          <w:sz w:val="20"/>
          <w:szCs w:val="20"/>
        </w:rPr>
        <w:t xml:space="preserve"> the opportunity to achieve </w:t>
      </w:r>
      <w:r w:rsidRPr="005F74F8">
        <w:rPr>
          <w:i/>
          <w:sz w:val="20"/>
          <w:szCs w:val="20"/>
        </w:rPr>
        <w:t>their</w:t>
      </w:r>
      <w:r w:rsidR="002245D4" w:rsidRPr="005F74F8">
        <w:rPr>
          <w:i/>
          <w:sz w:val="20"/>
          <w:szCs w:val="20"/>
        </w:rPr>
        <w:t xml:space="preserve"> full potential.</w:t>
      </w:r>
      <w:r w:rsidRPr="005F74F8">
        <w:rPr>
          <w:i/>
          <w:sz w:val="20"/>
          <w:szCs w:val="20"/>
        </w:rPr>
        <w:t xml:space="preserve"> We aim to educate within the boundaries of curriculum requirements whilst providing a learning environment that fosters talent and develops our children into knowledgeable, thoughtful members of society. In order to achieve this goal, forthcoming priorities will enhance the curriculum through the development of enrichment, integration and personal, social and emotional development. Our priorities have one principal shared outcome – to impact positively on the </w:t>
      </w:r>
      <w:r w:rsidR="00D40E51" w:rsidRPr="005F74F8">
        <w:rPr>
          <w:i/>
          <w:sz w:val="20"/>
          <w:szCs w:val="20"/>
        </w:rPr>
        <w:t>life</w:t>
      </w:r>
      <w:r w:rsidRPr="005F74F8">
        <w:rPr>
          <w:i/>
          <w:sz w:val="20"/>
          <w:szCs w:val="20"/>
        </w:rPr>
        <w:t xml:space="preserve"> of every pupil and enhance the quality of their educational experience.</w:t>
      </w:r>
    </w:p>
    <w:p w14:paraId="2A7D54EB" w14:textId="7A293717" w:rsidR="00E66558" w:rsidRDefault="00D40E51">
      <w:pPr>
        <w:pStyle w:val="Heading2"/>
        <w:spacing w:before="600"/>
      </w:pPr>
      <w:r>
        <w:t>C</w:t>
      </w:r>
      <w:r w:rsidR="009D71E8">
        <w:t>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9"/>
        <w:gridCol w:w="8007"/>
      </w:tblGrid>
      <w:tr w:rsidR="00E66558" w14:paraId="2A7D54EF" w14:textId="77777777" w:rsidTr="00964FC0">
        <w:tc>
          <w:tcPr>
            <w:tcW w:w="14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1D4C666B" w:rsidR="00E66558" w:rsidRDefault="009D71E8">
            <w:pPr>
              <w:pStyle w:val="TableHeader"/>
              <w:jc w:val="left"/>
            </w:pPr>
            <w:r>
              <w:t xml:space="preserve">Challenge </w:t>
            </w:r>
          </w:p>
        </w:tc>
        <w:tc>
          <w:tcPr>
            <w:tcW w:w="133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964FC0">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F74F8" w:rsidRDefault="009D71E8">
            <w:pPr>
              <w:pStyle w:val="TableRow"/>
              <w:rPr>
                <w:sz w:val="20"/>
                <w:szCs w:val="20"/>
              </w:rPr>
            </w:pPr>
            <w:r w:rsidRPr="005F74F8">
              <w:rPr>
                <w:sz w:val="20"/>
                <w:szCs w:val="20"/>
              </w:rPr>
              <w:t>1</w:t>
            </w:r>
          </w:p>
        </w:tc>
        <w:tc>
          <w:tcPr>
            <w:tcW w:w="1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FE05C94" w:rsidR="00E66558" w:rsidRPr="005F74F8" w:rsidRDefault="00964FC0">
            <w:pPr>
              <w:pStyle w:val="TableRowCentered"/>
              <w:jc w:val="left"/>
              <w:rPr>
                <w:sz w:val="20"/>
              </w:rPr>
            </w:pPr>
            <w:r w:rsidRPr="005F74F8">
              <w:rPr>
                <w:i/>
                <w:iCs/>
                <w:sz w:val="20"/>
              </w:rPr>
              <w:t>Post pandemic emotional and mental health</w:t>
            </w:r>
          </w:p>
        </w:tc>
      </w:tr>
      <w:tr w:rsidR="00E66558" w14:paraId="2A7D54F5" w14:textId="77777777" w:rsidTr="00964FC0">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F74F8" w:rsidRDefault="009D71E8">
            <w:pPr>
              <w:pStyle w:val="TableRow"/>
              <w:rPr>
                <w:sz w:val="20"/>
                <w:szCs w:val="20"/>
              </w:rPr>
            </w:pPr>
            <w:r w:rsidRPr="005F74F8">
              <w:rPr>
                <w:sz w:val="20"/>
                <w:szCs w:val="20"/>
              </w:rPr>
              <w:t>2</w:t>
            </w:r>
          </w:p>
        </w:tc>
        <w:tc>
          <w:tcPr>
            <w:tcW w:w="1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21403C5" w:rsidR="00E66558" w:rsidRPr="005F74F8" w:rsidRDefault="00964FC0">
            <w:pPr>
              <w:pStyle w:val="TableRowCentered"/>
              <w:jc w:val="left"/>
              <w:rPr>
                <w:i/>
                <w:sz w:val="20"/>
              </w:rPr>
            </w:pPr>
            <w:r w:rsidRPr="005F74F8">
              <w:rPr>
                <w:i/>
                <w:sz w:val="20"/>
              </w:rPr>
              <w:t>Financial uncertainties</w:t>
            </w:r>
            <w:r w:rsidR="00E2360F" w:rsidRPr="005F74F8">
              <w:rPr>
                <w:i/>
                <w:sz w:val="20"/>
              </w:rPr>
              <w:t xml:space="preserve"> for families</w:t>
            </w:r>
          </w:p>
        </w:tc>
      </w:tr>
      <w:tr w:rsidR="00E66558" w14:paraId="2A7D54F8" w14:textId="77777777" w:rsidTr="00964FC0">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F74F8" w:rsidRDefault="009D71E8">
            <w:pPr>
              <w:pStyle w:val="TableRow"/>
              <w:rPr>
                <w:sz w:val="20"/>
                <w:szCs w:val="20"/>
              </w:rPr>
            </w:pPr>
            <w:r w:rsidRPr="005F74F8">
              <w:rPr>
                <w:sz w:val="20"/>
                <w:szCs w:val="20"/>
              </w:rPr>
              <w:t>3</w:t>
            </w:r>
          </w:p>
        </w:tc>
        <w:tc>
          <w:tcPr>
            <w:tcW w:w="1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48A3096" w:rsidR="00E66558" w:rsidRPr="005F74F8" w:rsidRDefault="00964FC0">
            <w:pPr>
              <w:pStyle w:val="TableRowCentered"/>
              <w:jc w:val="left"/>
              <w:rPr>
                <w:i/>
                <w:sz w:val="20"/>
              </w:rPr>
            </w:pPr>
            <w:r w:rsidRPr="005F74F8">
              <w:rPr>
                <w:i/>
                <w:sz w:val="20"/>
              </w:rPr>
              <w:t>Language constraints</w:t>
            </w:r>
          </w:p>
        </w:tc>
      </w:tr>
      <w:tr w:rsidR="00E66558" w14:paraId="2A7D54FB" w14:textId="77777777" w:rsidTr="00964FC0">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F74F8" w:rsidRDefault="009D71E8">
            <w:pPr>
              <w:pStyle w:val="TableRow"/>
              <w:rPr>
                <w:sz w:val="20"/>
                <w:szCs w:val="20"/>
              </w:rPr>
            </w:pPr>
            <w:r w:rsidRPr="005F74F8">
              <w:rPr>
                <w:sz w:val="20"/>
                <w:szCs w:val="20"/>
              </w:rPr>
              <w:t>4</w:t>
            </w:r>
          </w:p>
        </w:tc>
        <w:tc>
          <w:tcPr>
            <w:tcW w:w="1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70FD48B" w:rsidR="00E66558" w:rsidRPr="005F74F8" w:rsidRDefault="00964FC0">
            <w:pPr>
              <w:pStyle w:val="TableRowCentered"/>
              <w:jc w:val="left"/>
              <w:rPr>
                <w:i/>
                <w:iCs/>
                <w:sz w:val="20"/>
              </w:rPr>
            </w:pPr>
            <w:r w:rsidRPr="005F74F8">
              <w:rPr>
                <w:i/>
                <w:iCs/>
                <w:sz w:val="20"/>
              </w:rPr>
              <w:t>School attendance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740"/>
        <w:gridCol w:w="5746"/>
      </w:tblGrid>
      <w:tr w:rsidR="00E66558" w14:paraId="2A7D5503"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94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46470AC" w:rsidR="00E66558" w:rsidRPr="005F74F8" w:rsidRDefault="000820DA">
            <w:pPr>
              <w:pStyle w:val="TableRow"/>
              <w:rPr>
                <w:sz w:val="20"/>
                <w:szCs w:val="20"/>
              </w:rPr>
            </w:pPr>
            <w:r w:rsidRPr="005F74F8">
              <w:rPr>
                <w:i/>
                <w:iCs/>
                <w:sz w:val="20"/>
                <w:szCs w:val="20"/>
              </w:rPr>
              <w:t>Extended access to learning opportunities</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6A5C714" w:rsidR="00E66558" w:rsidRPr="005F74F8" w:rsidRDefault="000820DA">
            <w:pPr>
              <w:pStyle w:val="TableRowCentered"/>
              <w:jc w:val="left"/>
              <w:rPr>
                <w:sz w:val="20"/>
              </w:rPr>
            </w:pPr>
            <w:r w:rsidRPr="005F74F8">
              <w:rPr>
                <w:sz w:val="20"/>
              </w:rPr>
              <w:t>Every child to own their own laptop with access to high quality programs</w:t>
            </w:r>
          </w:p>
        </w:tc>
      </w:tr>
      <w:tr w:rsidR="00E66558" w14:paraId="2A7D5509"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E7ED898" w:rsidR="00E66558" w:rsidRPr="005F74F8" w:rsidRDefault="000820DA">
            <w:pPr>
              <w:pStyle w:val="TableRow"/>
              <w:rPr>
                <w:sz w:val="20"/>
                <w:szCs w:val="20"/>
              </w:rPr>
            </w:pPr>
            <w:r w:rsidRPr="005F74F8">
              <w:rPr>
                <w:i/>
                <w:iCs/>
                <w:sz w:val="20"/>
                <w:szCs w:val="20"/>
              </w:rPr>
              <w:t>Extended access to learning opportunities</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6BAA1D0" w:rsidR="00E66558" w:rsidRPr="005F74F8" w:rsidRDefault="000820DA">
            <w:pPr>
              <w:pStyle w:val="TableRowCentered"/>
              <w:jc w:val="left"/>
              <w:rPr>
                <w:sz w:val="20"/>
              </w:rPr>
            </w:pPr>
            <w:r w:rsidRPr="005F74F8">
              <w:rPr>
                <w:sz w:val="20"/>
              </w:rPr>
              <w:t>Small(er) group work; increased adult attention/input</w:t>
            </w:r>
          </w:p>
        </w:tc>
      </w:tr>
      <w:tr w:rsidR="00E66558" w14:paraId="2A7D550C"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448808B" w:rsidR="00E66558" w:rsidRPr="005F74F8" w:rsidRDefault="000820DA">
            <w:pPr>
              <w:pStyle w:val="TableRow"/>
              <w:rPr>
                <w:i/>
                <w:sz w:val="20"/>
                <w:szCs w:val="20"/>
              </w:rPr>
            </w:pPr>
            <w:r w:rsidRPr="005F74F8">
              <w:rPr>
                <w:i/>
                <w:sz w:val="20"/>
                <w:szCs w:val="20"/>
              </w:rPr>
              <w:t>Increased parental engagement</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27D57C6" w:rsidR="00E66558" w:rsidRPr="005F74F8" w:rsidRDefault="000820DA">
            <w:pPr>
              <w:pStyle w:val="TableRowCentered"/>
              <w:jc w:val="left"/>
              <w:rPr>
                <w:sz w:val="20"/>
              </w:rPr>
            </w:pPr>
            <w:r w:rsidRPr="005F74F8">
              <w:rPr>
                <w:sz w:val="20"/>
              </w:rPr>
              <w:t>Interpreters at parents’ meetings</w:t>
            </w:r>
          </w:p>
        </w:tc>
      </w:tr>
      <w:tr w:rsidR="00E66558" w14:paraId="2A7D550F"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00FF881" w:rsidR="00E66558" w:rsidRPr="005F74F8" w:rsidRDefault="000820DA">
            <w:pPr>
              <w:pStyle w:val="TableRow"/>
              <w:rPr>
                <w:i/>
                <w:sz w:val="20"/>
                <w:szCs w:val="20"/>
              </w:rPr>
            </w:pPr>
            <w:r w:rsidRPr="005F74F8">
              <w:rPr>
                <w:i/>
                <w:sz w:val="20"/>
                <w:szCs w:val="20"/>
              </w:rPr>
              <w:t>Self-confidence/esteem developed</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7240AF5" w:rsidR="00E66558" w:rsidRPr="005F74F8" w:rsidRDefault="000820DA">
            <w:pPr>
              <w:pStyle w:val="TableRowCentered"/>
              <w:jc w:val="left"/>
              <w:rPr>
                <w:sz w:val="20"/>
              </w:rPr>
            </w:pPr>
            <w:r w:rsidRPr="005F74F8">
              <w:rPr>
                <w:sz w:val="20"/>
              </w:rPr>
              <w:t>Every child to wear school uniform without financial burden</w:t>
            </w:r>
          </w:p>
        </w:tc>
      </w:tr>
      <w:tr w:rsidR="000820DA" w14:paraId="44D5C74E"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7B55" w14:textId="25A1089F" w:rsidR="000820DA" w:rsidRPr="005F74F8" w:rsidRDefault="000820DA">
            <w:pPr>
              <w:pStyle w:val="TableRow"/>
              <w:rPr>
                <w:i/>
                <w:sz w:val="20"/>
                <w:szCs w:val="20"/>
              </w:rPr>
            </w:pPr>
            <w:r w:rsidRPr="005F74F8">
              <w:rPr>
                <w:i/>
                <w:sz w:val="20"/>
                <w:szCs w:val="20"/>
              </w:rPr>
              <w:t>Readily available support</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28E0" w14:textId="0533216D" w:rsidR="000820DA" w:rsidRPr="005F74F8" w:rsidRDefault="000820DA">
            <w:pPr>
              <w:pStyle w:val="TableRowCentered"/>
              <w:jc w:val="left"/>
              <w:rPr>
                <w:sz w:val="20"/>
              </w:rPr>
            </w:pPr>
            <w:r w:rsidRPr="005F74F8">
              <w:rPr>
                <w:sz w:val="20"/>
              </w:rPr>
              <w:t>Emotional/mental health advice and support available in-school with decreased waiting time</w:t>
            </w:r>
          </w:p>
        </w:tc>
      </w:tr>
      <w:tr w:rsidR="00563254" w14:paraId="7B0DC1E9"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F112E" w14:textId="16B53B4B" w:rsidR="00563254" w:rsidRPr="005F74F8" w:rsidRDefault="00563254">
            <w:pPr>
              <w:pStyle w:val="TableRow"/>
              <w:rPr>
                <w:i/>
                <w:sz w:val="20"/>
                <w:szCs w:val="20"/>
              </w:rPr>
            </w:pPr>
            <w:r w:rsidRPr="005F74F8">
              <w:rPr>
                <w:i/>
                <w:sz w:val="20"/>
                <w:szCs w:val="20"/>
              </w:rPr>
              <w:t>Readily available support</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0759" w14:textId="5B9020C7" w:rsidR="00563254" w:rsidRPr="005F74F8" w:rsidRDefault="00563254">
            <w:pPr>
              <w:pStyle w:val="TableRowCentered"/>
              <w:jc w:val="left"/>
              <w:rPr>
                <w:sz w:val="20"/>
              </w:rPr>
            </w:pPr>
            <w:r w:rsidRPr="005F74F8">
              <w:rPr>
                <w:sz w:val="20"/>
              </w:rPr>
              <w:t>Speech and Language therapy available in-school</w:t>
            </w:r>
          </w:p>
        </w:tc>
      </w:tr>
      <w:tr w:rsidR="000820DA" w14:paraId="3CD1EC70" w14:textId="77777777" w:rsidTr="000820DA">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573C" w14:textId="4F55871E" w:rsidR="000820DA" w:rsidRPr="005F74F8" w:rsidRDefault="000820DA">
            <w:pPr>
              <w:pStyle w:val="TableRow"/>
              <w:rPr>
                <w:i/>
                <w:sz w:val="20"/>
                <w:szCs w:val="20"/>
              </w:rPr>
            </w:pPr>
            <w:r w:rsidRPr="005F74F8">
              <w:rPr>
                <w:i/>
                <w:sz w:val="20"/>
                <w:szCs w:val="20"/>
              </w:rPr>
              <w:t>Recovery programme</w:t>
            </w:r>
          </w:p>
        </w:tc>
        <w:tc>
          <w:tcPr>
            <w:tcW w:w="9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E95B5" w14:textId="51CBD648" w:rsidR="000820DA" w:rsidRPr="005F74F8" w:rsidRDefault="000820DA">
            <w:pPr>
              <w:pStyle w:val="TableRowCentered"/>
              <w:jc w:val="left"/>
              <w:rPr>
                <w:sz w:val="20"/>
              </w:rPr>
            </w:pPr>
            <w:r w:rsidRPr="005F74F8">
              <w:rPr>
                <w:sz w:val="20"/>
              </w:rPr>
              <w:t xml:space="preserve">Time missed (through </w:t>
            </w:r>
            <w:r w:rsidR="00563254" w:rsidRPr="005F74F8">
              <w:rPr>
                <w:sz w:val="20"/>
              </w:rPr>
              <w:t xml:space="preserve">isolation) </w:t>
            </w:r>
            <w:r w:rsidRPr="005F74F8">
              <w:rPr>
                <w:sz w:val="20"/>
              </w:rPr>
              <w:t>not a barrier to learning</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23" w14:textId="7E640DAD" w:rsidR="00E66558" w:rsidRDefault="009D71E8">
      <w:pPr>
        <w:rPr>
          <w:b/>
          <w:bCs/>
          <w:color w:val="104F75"/>
          <w:sz w:val="28"/>
          <w:szCs w:val="28"/>
        </w:rPr>
      </w:pPr>
      <w:r>
        <w:rPr>
          <w:b/>
          <w:bCs/>
          <w:color w:val="104F75"/>
          <w:sz w:val="28"/>
          <w:szCs w:val="28"/>
        </w:rPr>
        <w:t xml:space="preserve">Targeted academic support </w:t>
      </w:r>
    </w:p>
    <w:p w14:paraId="2A7D5524" w14:textId="78A54985" w:rsidR="00E66558" w:rsidRDefault="009D71E8">
      <w:r>
        <w:t>Budgeted cos</w:t>
      </w:r>
      <w:r w:rsidRPr="007D5469">
        <w:rPr>
          <w:color w:val="auto"/>
        </w:rPr>
        <w:t>t</w:t>
      </w:r>
      <w:r w:rsidRPr="007D5469">
        <w:rPr>
          <w:b/>
          <w:color w:val="auto"/>
        </w:rPr>
        <w:t xml:space="preserve">: </w:t>
      </w:r>
      <w:r w:rsidRPr="007D5469">
        <w:rPr>
          <w:b/>
          <w:color w:val="FF0000"/>
        </w:rPr>
        <w:t>£</w:t>
      </w:r>
      <w:r w:rsidR="00E34691">
        <w:rPr>
          <w:b/>
          <w:color w:val="FF0000"/>
        </w:rPr>
        <w:t>1</w:t>
      </w:r>
      <w:r w:rsidR="009C56F7">
        <w:rPr>
          <w:b/>
          <w:color w:val="FF0000"/>
        </w:rPr>
        <w:t>35,111</w:t>
      </w:r>
    </w:p>
    <w:tbl>
      <w:tblPr>
        <w:tblW w:w="5000" w:type="pct"/>
        <w:tblCellMar>
          <w:left w:w="10" w:type="dxa"/>
          <w:right w:w="10" w:type="dxa"/>
        </w:tblCellMar>
        <w:tblLook w:val="04A0" w:firstRow="1" w:lastRow="0" w:firstColumn="1" w:lastColumn="0" w:noHBand="0" w:noVBand="1"/>
      </w:tblPr>
      <w:tblGrid>
        <w:gridCol w:w="2302"/>
        <w:gridCol w:w="5609"/>
        <w:gridCol w:w="1575"/>
      </w:tblGrid>
      <w:tr w:rsidR="00E66558" w:rsidRPr="005F74F8" w14:paraId="2A7D5528" w14:textId="77777777" w:rsidTr="00E34691">
        <w:tc>
          <w:tcPr>
            <w:tcW w:w="23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F74F8" w:rsidRDefault="009D71E8">
            <w:pPr>
              <w:pStyle w:val="TableHeader"/>
              <w:jc w:val="left"/>
            </w:pPr>
            <w:r w:rsidRPr="005F74F8">
              <w:t>Activity</w:t>
            </w:r>
          </w:p>
        </w:tc>
        <w:tc>
          <w:tcPr>
            <w:tcW w:w="56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F74F8" w:rsidRDefault="009D71E8">
            <w:pPr>
              <w:pStyle w:val="TableHeader"/>
              <w:jc w:val="left"/>
            </w:pPr>
            <w:r w:rsidRPr="005F74F8">
              <w:t>Evidence that supports this approach</w:t>
            </w:r>
          </w:p>
        </w:tc>
        <w:tc>
          <w:tcPr>
            <w:tcW w:w="15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F74F8" w:rsidRDefault="009D71E8">
            <w:pPr>
              <w:pStyle w:val="TableHeader"/>
              <w:jc w:val="left"/>
            </w:pPr>
            <w:r w:rsidRPr="005F74F8">
              <w:t>Challenge number(s) addressed</w:t>
            </w:r>
          </w:p>
        </w:tc>
      </w:tr>
      <w:tr w:rsidR="00E66558" w:rsidRPr="005F74F8" w14:paraId="2A7D552C" w14:textId="77777777" w:rsidTr="00E34691">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E5C2C56" w:rsidR="00E66558" w:rsidRPr="005F74F8" w:rsidRDefault="000D6F39">
            <w:pPr>
              <w:pStyle w:val="TableRow"/>
              <w:rPr>
                <w:sz w:val="20"/>
                <w:szCs w:val="20"/>
              </w:rPr>
            </w:pPr>
            <w:r w:rsidRPr="005F74F8">
              <w:rPr>
                <w:i/>
                <w:iCs/>
                <w:sz w:val="20"/>
                <w:szCs w:val="20"/>
              </w:rPr>
              <w:t>Teacher</w:t>
            </w:r>
            <w:r w:rsidR="000046A5" w:rsidRPr="005F74F8">
              <w:rPr>
                <w:i/>
                <w:iCs/>
                <w:sz w:val="20"/>
                <w:szCs w:val="20"/>
              </w:rPr>
              <w:t>/TA</w:t>
            </w:r>
            <w:r w:rsidRPr="005F74F8">
              <w:rPr>
                <w:i/>
                <w:iCs/>
                <w:sz w:val="20"/>
                <w:szCs w:val="20"/>
              </w:rPr>
              <w:t xml:space="preserve"> led intervention groups</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514D55A" w:rsidR="00E66558" w:rsidRPr="005F74F8" w:rsidRDefault="000D6F39" w:rsidP="00266700">
            <w:pPr>
              <w:shd w:val="clear" w:color="auto" w:fill="FFFFFF"/>
              <w:suppressAutoHyphens w:val="0"/>
              <w:autoSpaceDN/>
              <w:spacing w:after="0" w:line="240" w:lineRule="auto"/>
              <w:rPr>
                <w:rFonts w:cs="Arial"/>
                <w:color w:val="202124"/>
                <w:sz w:val="20"/>
                <w:szCs w:val="20"/>
              </w:rPr>
            </w:pPr>
            <w:r w:rsidRPr="005F74F8">
              <w:rPr>
                <w:rFonts w:cs="Arial"/>
                <w:color w:val="202124"/>
                <w:sz w:val="20"/>
                <w:szCs w:val="20"/>
              </w:rPr>
              <w:t>Learning in small-group contexts </w:t>
            </w:r>
            <w:r w:rsidRPr="005F74F8">
              <w:rPr>
                <w:rFonts w:cs="Arial"/>
                <w:bCs/>
                <w:color w:val="202124"/>
                <w:sz w:val="20"/>
                <w:szCs w:val="20"/>
              </w:rPr>
              <w:t xml:space="preserve">enhances </w:t>
            </w:r>
            <w:r w:rsidR="00266700" w:rsidRPr="005F74F8">
              <w:rPr>
                <w:rFonts w:cs="Arial"/>
                <w:bCs/>
                <w:color w:val="202124"/>
                <w:sz w:val="20"/>
                <w:szCs w:val="20"/>
              </w:rPr>
              <w:t>pupil</w:t>
            </w:r>
            <w:r w:rsidRPr="005F74F8">
              <w:rPr>
                <w:rFonts w:cs="Arial"/>
                <w:bCs/>
                <w:color w:val="202124"/>
                <w:sz w:val="20"/>
                <w:szCs w:val="20"/>
              </w:rPr>
              <w:t>s' overall learning experiences in several ways</w:t>
            </w:r>
            <w:r w:rsidR="00266700" w:rsidRPr="005F74F8">
              <w:rPr>
                <w:rFonts w:cs="Arial"/>
                <w:bCs/>
                <w:color w:val="202124"/>
                <w:sz w:val="20"/>
                <w:szCs w:val="20"/>
              </w:rPr>
              <w:t xml:space="preserve"> such as</w:t>
            </w:r>
            <w:r w:rsidRPr="005F74F8">
              <w:rPr>
                <w:rFonts w:cs="Arial"/>
                <w:color w:val="202124"/>
                <w:sz w:val="20"/>
                <w:szCs w:val="20"/>
              </w:rPr>
              <w:t xml:space="preserve"> develop</w:t>
            </w:r>
            <w:r w:rsidR="00266700" w:rsidRPr="005F74F8">
              <w:rPr>
                <w:rFonts w:cs="Arial"/>
                <w:color w:val="202124"/>
                <w:sz w:val="20"/>
                <w:szCs w:val="20"/>
              </w:rPr>
              <w:t>ing</w:t>
            </w:r>
            <w:r w:rsidRPr="005F74F8">
              <w:rPr>
                <w:rFonts w:cs="Arial"/>
                <w:color w:val="202124"/>
                <w:sz w:val="20"/>
                <w:szCs w:val="20"/>
              </w:rPr>
              <w:t xml:space="preserve"> skills in critical thinking, problem-solving, communication, interpersonal relations, teamwork, team leadership and lifelong learning skills</w:t>
            </w:r>
            <w:r w:rsidR="00266700" w:rsidRPr="005F74F8">
              <w:rPr>
                <w:rFonts w:cs="Arial"/>
                <w:color w:val="202124"/>
                <w:sz w:val="20"/>
                <w:szCs w:val="20"/>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C10218" w:rsidR="00E66558" w:rsidRPr="005F74F8" w:rsidRDefault="00063E06">
            <w:pPr>
              <w:pStyle w:val="TableRowCentered"/>
              <w:jc w:val="left"/>
              <w:rPr>
                <w:sz w:val="20"/>
              </w:rPr>
            </w:pPr>
            <w:r w:rsidRPr="005F74F8">
              <w:rPr>
                <w:sz w:val="20"/>
              </w:rPr>
              <w:t>4</w:t>
            </w:r>
          </w:p>
        </w:tc>
      </w:tr>
    </w:tbl>
    <w:p w14:paraId="2A7D5531" w14:textId="77777777" w:rsidR="00E66558" w:rsidRDefault="00E66558">
      <w:pPr>
        <w:spacing w:after="0"/>
        <w:rPr>
          <w:b/>
          <w:color w:val="104F75"/>
          <w:sz w:val="28"/>
          <w:szCs w:val="28"/>
        </w:rPr>
      </w:pPr>
    </w:p>
    <w:p w14:paraId="2A7D5532" w14:textId="5F6D9F61" w:rsidR="00E66558" w:rsidRDefault="009D71E8">
      <w:pPr>
        <w:rPr>
          <w:b/>
          <w:color w:val="104F75"/>
          <w:sz w:val="28"/>
          <w:szCs w:val="28"/>
        </w:rPr>
      </w:pPr>
      <w:r>
        <w:rPr>
          <w:b/>
          <w:color w:val="104F75"/>
          <w:sz w:val="28"/>
          <w:szCs w:val="28"/>
        </w:rPr>
        <w:t xml:space="preserve">Wider strategies </w:t>
      </w:r>
    </w:p>
    <w:p w14:paraId="2A7D5533" w14:textId="3FEF7B6B" w:rsidR="00E66558" w:rsidRDefault="009D71E8">
      <w:pPr>
        <w:spacing w:before="240" w:after="120"/>
      </w:pPr>
      <w:r>
        <w:t xml:space="preserve">Budgeted cost: </w:t>
      </w:r>
      <w:r w:rsidRPr="00F123EE">
        <w:rPr>
          <w:b/>
          <w:color w:val="FF0000"/>
        </w:rPr>
        <w:t>£</w:t>
      </w:r>
      <w:r w:rsidR="009C56F7">
        <w:rPr>
          <w:b/>
          <w:iCs/>
          <w:color w:val="FF0000"/>
        </w:rPr>
        <w:t>50,634</w:t>
      </w:r>
    </w:p>
    <w:tbl>
      <w:tblPr>
        <w:tblW w:w="5000" w:type="pct"/>
        <w:tblCellMar>
          <w:left w:w="10" w:type="dxa"/>
          <w:right w:w="10" w:type="dxa"/>
        </w:tblCellMar>
        <w:tblLook w:val="04A0" w:firstRow="1" w:lastRow="0" w:firstColumn="1" w:lastColumn="0" w:noHBand="0" w:noVBand="1"/>
      </w:tblPr>
      <w:tblGrid>
        <w:gridCol w:w="2334"/>
        <w:gridCol w:w="5578"/>
        <w:gridCol w:w="1574"/>
      </w:tblGrid>
      <w:tr w:rsidR="00E66558" w14:paraId="2A7D5537"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5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2897635" w:rsidR="00E66558" w:rsidRPr="005F74F8" w:rsidRDefault="0058168D">
            <w:pPr>
              <w:pStyle w:val="TableRow"/>
              <w:rPr>
                <w:sz w:val="20"/>
                <w:szCs w:val="20"/>
              </w:rPr>
            </w:pPr>
            <w:r w:rsidRPr="005F74F8">
              <w:rPr>
                <w:i/>
                <w:iCs/>
                <w:sz w:val="20"/>
                <w:szCs w:val="20"/>
              </w:rPr>
              <w:t>Interpreters available during parents’ meetings</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C1C13AA" w:rsidR="00E66558" w:rsidRPr="005F74F8" w:rsidRDefault="0058168D">
            <w:pPr>
              <w:pStyle w:val="TableRowCentered"/>
              <w:jc w:val="left"/>
              <w:rPr>
                <w:sz w:val="20"/>
              </w:rPr>
            </w:pPr>
            <w:r w:rsidRPr="005F74F8">
              <w:rPr>
                <w:rFonts w:cs="Arial"/>
                <w:color w:val="0B0C1D"/>
                <w:sz w:val="20"/>
                <w:shd w:val="clear" w:color="auto" w:fill="FFFFFF"/>
              </w:rPr>
              <w:t>Parents and carers from non-English speaking backgrounds can understand key information about their child’s education and support learning.</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E53BB58" w:rsidR="00E66558" w:rsidRPr="005F74F8" w:rsidRDefault="00063E06">
            <w:pPr>
              <w:pStyle w:val="TableRowCentered"/>
              <w:jc w:val="left"/>
              <w:rPr>
                <w:sz w:val="20"/>
              </w:rPr>
            </w:pPr>
            <w:r w:rsidRPr="005F74F8">
              <w:rPr>
                <w:sz w:val="20"/>
              </w:rPr>
              <w:t>3</w:t>
            </w:r>
          </w:p>
        </w:tc>
      </w:tr>
      <w:tr w:rsidR="00E66558" w14:paraId="2A7D553F"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2F8332" w:rsidR="00E66558" w:rsidRPr="005F74F8" w:rsidRDefault="00063E06">
            <w:pPr>
              <w:pStyle w:val="TableRow"/>
              <w:rPr>
                <w:i/>
                <w:sz w:val="20"/>
                <w:szCs w:val="20"/>
              </w:rPr>
            </w:pPr>
            <w:r w:rsidRPr="005F74F8">
              <w:rPr>
                <w:i/>
                <w:sz w:val="20"/>
                <w:szCs w:val="20"/>
              </w:rPr>
              <w:t>Provide school uniform for all pupils</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8C70E30" w:rsidR="00E66558" w:rsidRPr="005F74F8" w:rsidRDefault="00063E06">
            <w:pPr>
              <w:pStyle w:val="TableRowCentered"/>
              <w:jc w:val="left"/>
              <w:rPr>
                <w:sz w:val="20"/>
              </w:rPr>
            </w:pPr>
            <w:r w:rsidRPr="005F74F8">
              <w:rPr>
                <w:rFonts w:cs="Arial"/>
                <w:color w:val="393939"/>
                <w:sz w:val="20"/>
                <w:shd w:val="clear" w:color="auto" w:fill="FFFFFF"/>
              </w:rPr>
              <w:t>School uniform should not be so expensive as to leave pupils or their families feeling stressed due to the cost of the uniform or undervalued as a member of the school community.</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51F5F87" w:rsidR="00E66558" w:rsidRPr="005F74F8" w:rsidRDefault="00063E06">
            <w:pPr>
              <w:pStyle w:val="TableRowCentered"/>
              <w:jc w:val="left"/>
              <w:rPr>
                <w:sz w:val="20"/>
              </w:rPr>
            </w:pPr>
            <w:r w:rsidRPr="005F74F8">
              <w:rPr>
                <w:sz w:val="20"/>
              </w:rPr>
              <w:t>2,4</w:t>
            </w:r>
          </w:p>
        </w:tc>
      </w:tr>
      <w:tr w:rsidR="00063E06" w14:paraId="7CB731CA"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67FB3" w14:textId="2B21838B" w:rsidR="00063E06" w:rsidRPr="005F74F8" w:rsidRDefault="00063E06">
            <w:pPr>
              <w:pStyle w:val="TableRow"/>
              <w:rPr>
                <w:i/>
                <w:sz w:val="20"/>
                <w:szCs w:val="20"/>
              </w:rPr>
            </w:pPr>
            <w:r w:rsidRPr="005F74F8">
              <w:rPr>
                <w:i/>
                <w:sz w:val="20"/>
                <w:szCs w:val="20"/>
              </w:rPr>
              <w:t>Speech and Language support available regularly</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FD47" w14:textId="783EB273" w:rsidR="00063E06" w:rsidRPr="005F74F8" w:rsidRDefault="00063E06" w:rsidP="001E5E57">
            <w:pPr>
              <w:pStyle w:val="NoSpacing"/>
              <w:rPr>
                <w:sz w:val="20"/>
                <w:szCs w:val="20"/>
              </w:rPr>
            </w:pPr>
            <w:r w:rsidRPr="005F74F8">
              <w:rPr>
                <w:rStyle w:val="hgkelc"/>
                <w:rFonts w:cs="Arial"/>
                <w:color w:val="202124"/>
                <w:sz w:val="20"/>
                <w:szCs w:val="20"/>
              </w:rPr>
              <w:t>Speech and Language therapy helps </w:t>
            </w:r>
            <w:r w:rsidRPr="005F74F8">
              <w:rPr>
                <w:rStyle w:val="hgkelc"/>
                <w:rFonts w:cs="Arial"/>
                <w:bCs/>
                <w:color w:val="202124"/>
                <w:sz w:val="20"/>
                <w:szCs w:val="20"/>
              </w:rPr>
              <w:t>treat children with communication challenges</w:t>
            </w:r>
            <w:r w:rsidRPr="005F74F8">
              <w:rPr>
                <w:rStyle w:val="hgkelc"/>
                <w:rFonts w:cs="Arial"/>
                <w:color w:val="202124"/>
                <w:sz w:val="20"/>
                <w:szCs w:val="20"/>
              </w:rPr>
              <w:t>, both in how they speak and how they understand communication and also supports oral motor concerns, such as chewing and swallowing, as well as articulation, auditory processing and social skills.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A3B06" w14:textId="32D15C31" w:rsidR="00063E06" w:rsidRPr="005F74F8" w:rsidRDefault="001E5E57">
            <w:pPr>
              <w:pStyle w:val="TableRowCentered"/>
              <w:jc w:val="left"/>
              <w:rPr>
                <w:sz w:val="20"/>
              </w:rPr>
            </w:pPr>
            <w:r w:rsidRPr="005F74F8">
              <w:rPr>
                <w:sz w:val="20"/>
              </w:rPr>
              <w:t>1,3,4</w:t>
            </w:r>
          </w:p>
        </w:tc>
      </w:tr>
      <w:tr w:rsidR="001E5E57" w14:paraId="209A93EF"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30E8C" w14:textId="0479E66C" w:rsidR="001E5E57" w:rsidRPr="005F74F8" w:rsidRDefault="001E5E57">
            <w:pPr>
              <w:pStyle w:val="TableRow"/>
              <w:rPr>
                <w:i/>
                <w:sz w:val="20"/>
                <w:szCs w:val="20"/>
              </w:rPr>
            </w:pPr>
            <w:r w:rsidRPr="005F74F8">
              <w:rPr>
                <w:i/>
                <w:sz w:val="20"/>
                <w:szCs w:val="20"/>
              </w:rPr>
              <w:t>Place2Be active in school</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0512" w14:textId="44BF6365" w:rsidR="001E5E57" w:rsidRPr="005F74F8" w:rsidRDefault="001E5E57" w:rsidP="001E5E57">
            <w:pPr>
              <w:pStyle w:val="NoSpacing"/>
              <w:rPr>
                <w:rStyle w:val="hgkelc"/>
                <w:rFonts w:cs="Arial"/>
                <w:color w:val="202124"/>
                <w:sz w:val="20"/>
                <w:szCs w:val="20"/>
              </w:rPr>
            </w:pPr>
            <w:r w:rsidRPr="005F74F8">
              <w:rPr>
                <w:sz w:val="20"/>
                <w:szCs w:val="20"/>
                <w:shd w:val="clear" w:color="auto" w:fill="FFFFFF"/>
              </w:rPr>
              <w:t>Place2Be enables pupils to have the support they need to build lifelong coping skills and thrive. They work closely with the school’s mental first aiders.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792E" w14:textId="1176EDE8" w:rsidR="001E5E57" w:rsidRPr="005F74F8" w:rsidRDefault="001E5E57">
            <w:pPr>
              <w:pStyle w:val="TableRowCentered"/>
              <w:jc w:val="left"/>
              <w:rPr>
                <w:sz w:val="20"/>
              </w:rPr>
            </w:pPr>
            <w:r w:rsidRPr="005F74F8">
              <w:rPr>
                <w:sz w:val="20"/>
              </w:rPr>
              <w:t>1</w:t>
            </w:r>
          </w:p>
        </w:tc>
      </w:tr>
      <w:tr w:rsidR="001E5E57" w14:paraId="431BF8BB"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433B" w14:textId="5B8E8784" w:rsidR="001E5E57" w:rsidRPr="005F74F8" w:rsidRDefault="001E5E57">
            <w:pPr>
              <w:pStyle w:val="TableRow"/>
              <w:rPr>
                <w:i/>
                <w:sz w:val="20"/>
                <w:szCs w:val="20"/>
              </w:rPr>
            </w:pPr>
            <w:r w:rsidRPr="005F74F8">
              <w:rPr>
                <w:i/>
                <w:sz w:val="20"/>
                <w:szCs w:val="20"/>
              </w:rPr>
              <w:t>Enable school trips to enhance the curriculum and support personal, social and emotional development</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F5D7" w14:textId="1B2A061C" w:rsidR="001E5E57" w:rsidRPr="005F74F8" w:rsidRDefault="001E5E57" w:rsidP="001E5E57">
            <w:pPr>
              <w:shd w:val="clear" w:color="auto" w:fill="FFFFFF"/>
              <w:suppressAutoHyphens w:val="0"/>
              <w:autoSpaceDN/>
              <w:spacing w:after="0" w:line="240" w:lineRule="auto"/>
              <w:rPr>
                <w:rFonts w:cs="Arial"/>
                <w:color w:val="202124"/>
                <w:sz w:val="20"/>
                <w:szCs w:val="20"/>
              </w:rPr>
            </w:pPr>
            <w:r w:rsidRPr="005F74F8">
              <w:rPr>
                <w:rFonts w:cs="Arial"/>
                <w:color w:val="202124"/>
                <w:sz w:val="20"/>
                <w:szCs w:val="20"/>
              </w:rPr>
              <w:t>School trips give pupils the chance to experience cultures, respect differences, and develop new friendships with their peers and thus broaden their horizons and knowledge. They are a </w:t>
            </w:r>
            <w:r w:rsidRPr="005F74F8">
              <w:rPr>
                <w:rFonts w:cs="Arial"/>
                <w:bCs/>
                <w:color w:val="202124"/>
                <w:sz w:val="20"/>
                <w:szCs w:val="20"/>
              </w:rPr>
              <w:t xml:space="preserve">strong way to consolidate learning and </w:t>
            </w:r>
            <w:r w:rsidRPr="005F74F8">
              <w:rPr>
                <w:rFonts w:cs="Arial"/>
                <w:color w:val="202124"/>
                <w:sz w:val="20"/>
                <w:szCs w:val="20"/>
              </w:rPr>
              <w:t>directly relate learning in school to the real world.</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16EB" w14:textId="3869903A" w:rsidR="001E5E57" w:rsidRPr="005F74F8" w:rsidRDefault="001E5E57">
            <w:pPr>
              <w:pStyle w:val="TableRowCentered"/>
              <w:jc w:val="left"/>
              <w:rPr>
                <w:sz w:val="20"/>
              </w:rPr>
            </w:pPr>
            <w:r w:rsidRPr="005F74F8">
              <w:rPr>
                <w:sz w:val="20"/>
              </w:rPr>
              <w:t>1,4</w:t>
            </w:r>
          </w:p>
        </w:tc>
      </w:tr>
      <w:tr w:rsidR="00E34691" w:rsidRPr="005F74F8" w14:paraId="68101DB1" w14:textId="77777777" w:rsidTr="00E34691">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5BC8" w14:textId="77777777" w:rsidR="00E34691" w:rsidRPr="00E34691" w:rsidRDefault="00E34691" w:rsidP="000E4AFB">
            <w:pPr>
              <w:pStyle w:val="TableRow"/>
              <w:rPr>
                <w:i/>
                <w:sz w:val="20"/>
                <w:szCs w:val="20"/>
              </w:rPr>
            </w:pPr>
            <w:r w:rsidRPr="00E34691">
              <w:rPr>
                <w:i/>
                <w:sz w:val="20"/>
                <w:szCs w:val="20"/>
              </w:rPr>
              <w:t>Provide a laptop for every pupil (N-Y6)</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DF3ED" w14:textId="77777777" w:rsidR="00E34691" w:rsidRPr="005F74F8" w:rsidRDefault="00E34691" w:rsidP="000E4AFB">
            <w:pPr>
              <w:shd w:val="clear" w:color="auto" w:fill="FFFFFF"/>
              <w:suppressAutoHyphens w:val="0"/>
              <w:autoSpaceDN/>
              <w:spacing w:after="0" w:line="240" w:lineRule="auto"/>
              <w:rPr>
                <w:rFonts w:cs="Arial"/>
                <w:color w:val="202124"/>
                <w:sz w:val="20"/>
                <w:szCs w:val="20"/>
              </w:rPr>
            </w:pPr>
            <w:r w:rsidRPr="005F74F8">
              <w:rPr>
                <w:rFonts w:cs="Arial"/>
                <w:color w:val="202124"/>
                <w:sz w:val="20"/>
                <w:szCs w:val="20"/>
              </w:rPr>
              <w:t>Main barrier to learning when pupils not in school is access to ICT equipment and related programs.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B6FE" w14:textId="77777777" w:rsidR="00E34691" w:rsidRPr="005F74F8" w:rsidRDefault="00E34691" w:rsidP="000E4AFB">
            <w:pPr>
              <w:pStyle w:val="TableRowCentered"/>
              <w:jc w:val="left"/>
              <w:rPr>
                <w:sz w:val="20"/>
              </w:rPr>
            </w:pPr>
            <w:r w:rsidRPr="005F74F8">
              <w:rPr>
                <w:sz w:val="20"/>
              </w:rPr>
              <w:t>4</w:t>
            </w:r>
          </w:p>
        </w:tc>
      </w:tr>
    </w:tbl>
    <w:p w14:paraId="2A7D5540" w14:textId="77777777" w:rsidR="00E66558" w:rsidRDefault="00E66558">
      <w:pPr>
        <w:spacing w:before="240" w:after="0"/>
        <w:rPr>
          <w:b/>
          <w:bCs/>
          <w:color w:val="104F75"/>
          <w:sz w:val="28"/>
          <w:szCs w:val="28"/>
        </w:rPr>
      </w:pPr>
    </w:p>
    <w:p w14:paraId="2A7D5541" w14:textId="4C82282B" w:rsidR="00E66558" w:rsidRDefault="009D71E8" w:rsidP="00120AB1">
      <w:r>
        <w:rPr>
          <w:b/>
          <w:bCs/>
          <w:color w:val="104F75"/>
          <w:sz w:val="28"/>
          <w:szCs w:val="28"/>
        </w:rPr>
        <w:t xml:space="preserve">Total budgeted cost: </w:t>
      </w:r>
      <w:r w:rsidRPr="00F123EE">
        <w:rPr>
          <w:b/>
          <w:bCs/>
          <w:color w:val="FF0000"/>
          <w:sz w:val="28"/>
          <w:szCs w:val="28"/>
        </w:rPr>
        <w:t>£</w:t>
      </w:r>
      <w:r w:rsidR="00E34691">
        <w:rPr>
          <w:b/>
          <w:bCs/>
          <w:color w:val="FF0000"/>
          <w:sz w:val="28"/>
          <w:szCs w:val="28"/>
        </w:rPr>
        <w:t>1</w:t>
      </w:r>
      <w:r w:rsidR="009C56F7">
        <w:rPr>
          <w:b/>
          <w:bCs/>
          <w:color w:val="FF0000"/>
          <w:sz w:val="28"/>
          <w:szCs w:val="28"/>
        </w:rPr>
        <w:t>85,745</w:t>
      </w:r>
    </w:p>
    <w:p w14:paraId="2A7D5542" w14:textId="77777777" w:rsidR="00E66558" w:rsidRPr="00E2360F" w:rsidRDefault="009D71E8">
      <w:pPr>
        <w:pStyle w:val="Heading1"/>
        <w:rPr>
          <w:color w:val="CC99FF"/>
        </w:rPr>
      </w:pPr>
      <w:r w:rsidRPr="00E2360F">
        <w:rPr>
          <w:color w:val="CC99FF"/>
        </w:rPr>
        <w:lastRenderedPageBreak/>
        <w:t>Part B: Review of outcomes in the previous academic year</w:t>
      </w:r>
    </w:p>
    <w:p w14:paraId="2A7D5543" w14:textId="77777777" w:rsidR="00E66558" w:rsidRDefault="009D71E8">
      <w:pPr>
        <w:pStyle w:val="Heading2"/>
      </w:pPr>
      <w:r>
        <w:t>Pupil premium strategy outcomes</w:t>
      </w:r>
    </w:p>
    <w:p w14:paraId="2A7D5544" w14:textId="58563B0B" w:rsidR="00E66558" w:rsidRDefault="009D71E8">
      <w:r>
        <w:t>This details the impact that our pupil premium activity had on pupils in the 202</w:t>
      </w:r>
      <w:r w:rsidR="009C56F7">
        <w:t>2</w:t>
      </w:r>
      <w:r>
        <w:t xml:space="preserve"> to 202</w:t>
      </w:r>
      <w:r w:rsidR="009C56F7">
        <w:t>3</w:t>
      </w:r>
      <w:r>
        <w:t xml:space="preserve"> academic year. </w:t>
      </w:r>
    </w:p>
    <w:tbl>
      <w:tblPr>
        <w:tblStyle w:val="TableGrid"/>
        <w:tblW w:w="10895" w:type="dxa"/>
        <w:jc w:val="center"/>
        <w:tblInd w:w="0" w:type="dxa"/>
        <w:tblCellMar>
          <w:top w:w="47" w:type="dxa"/>
          <w:left w:w="108" w:type="dxa"/>
          <w:right w:w="84" w:type="dxa"/>
        </w:tblCellMar>
        <w:tblLook w:val="04A0" w:firstRow="1" w:lastRow="0" w:firstColumn="1" w:lastColumn="0" w:noHBand="0" w:noVBand="1"/>
      </w:tblPr>
      <w:tblGrid>
        <w:gridCol w:w="2260"/>
        <w:gridCol w:w="2552"/>
        <w:gridCol w:w="2291"/>
        <w:gridCol w:w="2670"/>
        <w:gridCol w:w="1122"/>
      </w:tblGrid>
      <w:tr w:rsidR="005F74F8" w:rsidRPr="005F74F8" w14:paraId="0E3AC03D" w14:textId="77777777" w:rsidTr="005F74F8">
        <w:trPr>
          <w:trHeight w:val="289"/>
          <w:jc w:val="center"/>
        </w:trPr>
        <w:tc>
          <w:tcPr>
            <w:tcW w:w="9773" w:type="dxa"/>
            <w:gridSpan w:val="4"/>
            <w:tcBorders>
              <w:top w:val="single" w:sz="4" w:space="0" w:color="000000"/>
              <w:left w:val="single" w:sz="4" w:space="0" w:color="000000"/>
              <w:bottom w:val="single" w:sz="23" w:space="0" w:color="FFFFFF"/>
              <w:right w:val="nil"/>
            </w:tcBorders>
            <w:shd w:val="clear" w:color="auto" w:fill="CFDCE3"/>
          </w:tcPr>
          <w:p w14:paraId="47376502" w14:textId="3CDA6A93" w:rsidR="005F74F8" w:rsidRPr="005F74F8" w:rsidRDefault="005F74F8" w:rsidP="00EC0949">
            <w:r w:rsidRPr="005F74F8">
              <w:rPr>
                <w:rFonts w:ascii="Arial" w:eastAsia="Arial" w:hAnsi="Arial" w:cs="Arial"/>
                <w:b/>
              </w:rPr>
              <w:t>1. Review of expenditure (</w:t>
            </w:r>
            <w:r w:rsidR="009C56F7">
              <w:rPr>
                <w:rFonts w:ascii="Arial" w:eastAsia="Arial" w:hAnsi="Arial" w:cs="Arial"/>
                <w:b/>
              </w:rPr>
              <w:t>2022/23)</w:t>
            </w:r>
          </w:p>
        </w:tc>
        <w:tc>
          <w:tcPr>
            <w:tcW w:w="1122" w:type="dxa"/>
            <w:tcBorders>
              <w:top w:val="single" w:sz="4" w:space="0" w:color="000000"/>
              <w:left w:val="nil"/>
              <w:bottom w:val="single" w:sz="23" w:space="0" w:color="FFFFFF"/>
              <w:right w:val="single" w:sz="4" w:space="0" w:color="000000"/>
            </w:tcBorders>
            <w:shd w:val="clear" w:color="auto" w:fill="CFDCE3"/>
          </w:tcPr>
          <w:p w14:paraId="332ADBB0" w14:textId="77777777" w:rsidR="005F74F8" w:rsidRPr="005F74F8" w:rsidRDefault="005F74F8" w:rsidP="00EC0949">
            <w:pPr>
              <w:rPr>
                <w:sz w:val="20"/>
                <w:szCs w:val="20"/>
              </w:rPr>
            </w:pPr>
          </w:p>
        </w:tc>
      </w:tr>
      <w:tr w:rsidR="00E2360F" w:rsidRPr="005F74F8" w14:paraId="15DD420C" w14:textId="77777777" w:rsidTr="005F74F8">
        <w:trPr>
          <w:trHeight w:val="306"/>
          <w:jc w:val="center"/>
        </w:trPr>
        <w:tc>
          <w:tcPr>
            <w:tcW w:w="7103" w:type="dxa"/>
            <w:gridSpan w:val="3"/>
            <w:tcBorders>
              <w:top w:val="single" w:sz="23" w:space="0" w:color="FFFFFF"/>
              <w:left w:val="single" w:sz="4" w:space="0" w:color="000000"/>
              <w:bottom w:val="single" w:sz="4" w:space="0" w:color="000000"/>
              <w:right w:val="nil"/>
            </w:tcBorders>
          </w:tcPr>
          <w:p w14:paraId="7EED9AB4"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Quality of teaching for all </w:t>
            </w:r>
          </w:p>
        </w:tc>
        <w:tc>
          <w:tcPr>
            <w:tcW w:w="2670" w:type="dxa"/>
            <w:tcBorders>
              <w:top w:val="single" w:sz="23" w:space="0" w:color="FFFFFF"/>
              <w:left w:val="nil"/>
              <w:bottom w:val="single" w:sz="4" w:space="0" w:color="000000"/>
              <w:right w:val="nil"/>
            </w:tcBorders>
          </w:tcPr>
          <w:p w14:paraId="7C54F495" w14:textId="77777777" w:rsidR="00E2360F" w:rsidRPr="005F74F8" w:rsidRDefault="00E2360F" w:rsidP="00EC0949">
            <w:pPr>
              <w:rPr>
                <w:sz w:val="20"/>
                <w:szCs w:val="20"/>
              </w:rPr>
            </w:pPr>
          </w:p>
        </w:tc>
        <w:tc>
          <w:tcPr>
            <w:tcW w:w="1122" w:type="dxa"/>
            <w:tcBorders>
              <w:top w:val="single" w:sz="23" w:space="0" w:color="FFFFFF"/>
              <w:left w:val="nil"/>
              <w:bottom w:val="single" w:sz="4" w:space="0" w:color="000000"/>
              <w:right w:val="single" w:sz="4" w:space="0" w:color="000000"/>
            </w:tcBorders>
          </w:tcPr>
          <w:p w14:paraId="6237E872" w14:textId="77777777" w:rsidR="00E2360F" w:rsidRPr="005F74F8" w:rsidRDefault="00E2360F" w:rsidP="00EC0949">
            <w:pPr>
              <w:rPr>
                <w:sz w:val="20"/>
                <w:szCs w:val="20"/>
              </w:rPr>
            </w:pPr>
          </w:p>
        </w:tc>
      </w:tr>
      <w:tr w:rsidR="005F74F8" w:rsidRPr="005F74F8" w14:paraId="47C353D6" w14:textId="77777777" w:rsidTr="005F74F8">
        <w:trPr>
          <w:trHeight w:val="353"/>
          <w:jc w:val="center"/>
        </w:trPr>
        <w:tc>
          <w:tcPr>
            <w:tcW w:w="2260" w:type="dxa"/>
            <w:tcBorders>
              <w:top w:val="single" w:sz="4" w:space="0" w:color="000000"/>
              <w:left w:val="single" w:sz="4" w:space="0" w:color="000000"/>
              <w:bottom w:val="single" w:sz="4" w:space="0" w:color="000000"/>
              <w:right w:val="single" w:sz="4" w:space="0" w:color="000000"/>
            </w:tcBorders>
          </w:tcPr>
          <w:p w14:paraId="643B77A9"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Desired outcome </w:t>
            </w:r>
          </w:p>
        </w:tc>
        <w:tc>
          <w:tcPr>
            <w:tcW w:w="2552" w:type="dxa"/>
            <w:tcBorders>
              <w:top w:val="single" w:sz="4" w:space="0" w:color="000000"/>
              <w:left w:val="single" w:sz="4" w:space="0" w:color="000000"/>
              <w:bottom w:val="single" w:sz="4" w:space="0" w:color="000000"/>
              <w:right w:val="single" w:sz="4" w:space="0" w:color="000000"/>
            </w:tcBorders>
          </w:tcPr>
          <w:p w14:paraId="586A7C2A"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Chosen action / approach </w:t>
            </w:r>
          </w:p>
        </w:tc>
        <w:tc>
          <w:tcPr>
            <w:tcW w:w="2291" w:type="dxa"/>
            <w:tcBorders>
              <w:top w:val="single" w:sz="4" w:space="0" w:color="000000"/>
              <w:left w:val="single" w:sz="4" w:space="0" w:color="000000"/>
              <w:bottom w:val="single" w:sz="4" w:space="0" w:color="000000"/>
              <w:right w:val="single" w:sz="4" w:space="0" w:color="000000"/>
            </w:tcBorders>
          </w:tcPr>
          <w:p w14:paraId="082A3512"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Estimated impact:  </w:t>
            </w:r>
          </w:p>
        </w:tc>
        <w:tc>
          <w:tcPr>
            <w:tcW w:w="2670" w:type="dxa"/>
            <w:tcBorders>
              <w:top w:val="single" w:sz="4" w:space="0" w:color="000000"/>
              <w:left w:val="single" w:sz="4" w:space="0" w:color="000000"/>
              <w:bottom w:val="single" w:sz="4" w:space="0" w:color="000000"/>
              <w:right w:val="single" w:sz="4" w:space="0" w:color="000000"/>
            </w:tcBorders>
          </w:tcPr>
          <w:p w14:paraId="5642B6E6"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Lessons learned  </w:t>
            </w:r>
          </w:p>
        </w:tc>
        <w:tc>
          <w:tcPr>
            <w:tcW w:w="1122" w:type="dxa"/>
            <w:tcBorders>
              <w:top w:val="single" w:sz="4" w:space="0" w:color="000000"/>
              <w:left w:val="single" w:sz="4" w:space="0" w:color="000000"/>
              <w:bottom w:val="single" w:sz="4" w:space="0" w:color="000000"/>
              <w:right w:val="single" w:sz="4" w:space="0" w:color="000000"/>
            </w:tcBorders>
          </w:tcPr>
          <w:p w14:paraId="586F7AB5"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Approx. Cost </w:t>
            </w:r>
          </w:p>
        </w:tc>
      </w:tr>
      <w:tr w:rsidR="005F74F8" w:rsidRPr="005F74F8" w14:paraId="24337B15" w14:textId="77777777" w:rsidTr="005F74F8">
        <w:trPr>
          <w:trHeight w:val="572"/>
          <w:jc w:val="center"/>
        </w:trPr>
        <w:tc>
          <w:tcPr>
            <w:tcW w:w="2260" w:type="dxa"/>
            <w:tcBorders>
              <w:top w:val="single" w:sz="4" w:space="0" w:color="000000"/>
              <w:left w:val="single" w:sz="4" w:space="0" w:color="000000"/>
              <w:bottom w:val="single" w:sz="4" w:space="0" w:color="000000"/>
              <w:right w:val="single" w:sz="4" w:space="0" w:color="000000"/>
            </w:tcBorders>
          </w:tcPr>
          <w:p w14:paraId="2B7409AB" w14:textId="77777777" w:rsidR="00E2360F" w:rsidRPr="005F74F8" w:rsidRDefault="00E2360F" w:rsidP="005F74F8">
            <w:pPr>
              <w:spacing w:after="0"/>
              <w:rPr>
                <w:sz w:val="20"/>
                <w:szCs w:val="20"/>
              </w:rPr>
            </w:pPr>
            <w:r w:rsidRPr="005F74F8">
              <w:rPr>
                <w:rFonts w:ascii="Arial" w:eastAsia="Arial" w:hAnsi="Arial" w:cs="Arial"/>
                <w:sz w:val="20"/>
                <w:szCs w:val="20"/>
              </w:rPr>
              <w:t xml:space="preserve">Development of pupils’ language skills in FS </w:t>
            </w:r>
          </w:p>
        </w:tc>
        <w:tc>
          <w:tcPr>
            <w:tcW w:w="2552" w:type="dxa"/>
            <w:tcBorders>
              <w:top w:val="single" w:sz="4" w:space="0" w:color="000000"/>
              <w:left w:val="single" w:sz="4" w:space="0" w:color="000000"/>
              <w:bottom w:val="single" w:sz="4" w:space="0" w:color="000000"/>
              <w:right w:val="single" w:sz="4" w:space="0" w:color="000000"/>
            </w:tcBorders>
          </w:tcPr>
          <w:p w14:paraId="1DA39F31" w14:textId="65317935" w:rsidR="00E2360F" w:rsidRPr="005F74F8" w:rsidRDefault="00E34691" w:rsidP="005F74F8">
            <w:pPr>
              <w:spacing w:after="0"/>
              <w:ind w:left="2"/>
              <w:rPr>
                <w:sz w:val="20"/>
                <w:szCs w:val="20"/>
              </w:rPr>
            </w:pPr>
            <w:r>
              <w:rPr>
                <w:rFonts w:ascii="Arial" w:eastAsia="Arial" w:hAnsi="Arial" w:cs="Arial"/>
                <w:sz w:val="20"/>
                <w:szCs w:val="20"/>
              </w:rPr>
              <w:t>Speech and Language Therapy/outdoor play equipment</w:t>
            </w:r>
            <w:r w:rsidR="00E2360F" w:rsidRPr="005F74F8">
              <w:rPr>
                <w:rFonts w:ascii="Arial" w:eastAsia="Arial" w:hAnsi="Arial" w:cs="Arial"/>
                <w:sz w:val="20"/>
                <w:szCs w:val="20"/>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291EEBE0" w14:textId="61E2C8D5" w:rsidR="00E2360F" w:rsidRPr="005F74F8" w:rsidRDefault="00E2360F" w:rsidP="005F74F8">
            <w:pPr>
              <w:spacing w:after="0"/>
              <w:ind w:left="2"/>
              <w:rPr>
                <w:sz w:val="20"/>
                <w:szCs w:val="20"/>
              </w:rPr>
            </w:pPr>
            <w:r w:rsidRPr="005F74F8">
              <w:rPr>
                <w:rFonts w:ascii="Arial" w:eastAsia="Arial" w:hAnsi="Arial" w:cs="Arial"/>
                <w:sz w:val="20"/>
                <w:szCs w:val="20"/>
              </w:rPr>
              <w:t xml:space="preserve">Level of confidence increased when </w:t>
            </w:r>
            <w:r w:rsidR="00E34691">
              <w:rPr>
                <w:rFonts w:ascii="Arial" w:eastAsia="Arial" w:hAnsi="Arial" w:cs="Arial"/>
                <w:sz w:val="20"/>
                <w:szCs w:val="20"/>
              </w:rPr>
              <w:t>communicating</w:t>
            </w:r>
            <w:r w:rsidRPr="005F74F8">
              <w:rPr>
                <w:rFonts w:ascii="Arial" w:eastAsia="Arial" w:hAnsi="Arial" w:cs="Arial"/>
                <w:sz w:val="20"/>
                <w:szCs w:val="20"/>
              </w:rPr>
              <w:t xml:space="preserve"> </w:t>
            </w:r>
          </w:p>
        </w:tc>
        <w:tc>
          <w:tcPr>
            <w:tcW w:w="2670" w:type="dxa"/>
            <w:tcBorders>
              <w:top w:val="single" w:sz="4" w:space="0" w:color="000000"/>
              <w:left w:val="single" w:sz="4" w:space="0" w:color="000000"/>
              <w:bottom w:val="single" w:sz="4" w:space="0" w:color="000000"/>
              <w:right w:val="single" w:sz="4" w:space="0" w:color="000000"/>
            </w:tcBorders>
          </w:tcPr>
          <w:p w14:paraId="224BB862" w14:textId="0D1F2492" w:rsidR="00E2360F" w:rsidRPr="005F74F8" w:rsidRDefault="00E2360F" w:rsidP="005F74F8">
            <w:pPr>
              <w:spacing w:after="0"/>
              <w:ind w:left="2"/>
              <w:rPr>
                <w:sz w:val="20"/>
                <w:szCs w:val="20"/>
              </w:rPr>
            </w:pPr>
            <w:r w:rsidRPr="005F74F8">
              <w:rPr>
                <w:rFonts w:ascii="Arial" w:eastAsia="Arial" w:hAnsi="Arial" w:cs="Arial"/>
                <w:sz w:val="20"/>
                <w:szCs w:val="20"/>
              </w:rPr>
              <w:t>Has impacted on pupil development</w:t>
            </w:r>
            <w:r w:rsidR="00E34691">
              <w:rPr>
                <w:rFonts w:ascii="Arial" w:eastAsia="Arial" w:hAnsi="Arial" w:cs="Arial"/>
                <w:sz w:val="20"/>
                <w:szCs w:val="20"/>
              </w:rPr>
              <w:t xml:space="preserve"> – maintain for next year</w:t>
            </w:r>
          </w:p>
        </w:tc>
        <w:tc>
          <w:tcPr>
            <w:tcW w:w="1122" w:type="dxa"/>
            <w:tcBorders>
              <w:top w:val="single" w:sz="4" w:space="0" w:color="000000"/>
              <w:left w:val="single" w:sz="4" w:space="0" w:color="000000"/>
              <w:bottom w:val="single" w:sz="4" w:space="0" w:color="000000"/>
              <w:right w:val="single" w:sz="4" w:space="0" w:color="000000"/>
            </w:tcBorders>
          </w:tcPr>
          <w:p w14:paraId="4DED506E" w14:textId="6907122A" w:rsidR="00E2360F" w:rsidRPr="005F74F8" w:rsidRDefault="00E2360F" w:rsidP="005F74F8">
            <w:pPr>
              <w:spacing w:after="0"/>
              <w:rPr>
                <w:sz w:val="20"/>
                <w:szCs w:val="20"/>
              </w:rPr>
            </w:pPr>
            <w:r w:rsidRPr="005F74F8">
              <w:rPr>
                <w:rFonts w:ascii="Arial" w:eastAsia="Arial" w:hAnsi="Arial" w:cs="Arial"/>
                <w:b/>
                <w:sz w:val="20"/>
                <w:szCs w:val="20"/>
              </w:rPr>
              <w:t>£</w:t>
            </w:r>
            <w:r w:rsidR="009C56F7">
              <w:rPr>
                <w:rFonts w:ascii="Arial" w:eastAsia="Arial" w:hAnsi="Arial" w:cs="Arial"/>
                <w:b/>
                <w:sz w:val="20"/>
                <w:szCs w:val="20"/>
              </w:rPr>
              <w:t>25,250</w:t>
            </w:r>
            <w:r w:rsidRPr="005F74F8">
              <w:rPr>
                <w:rFonts w:ascii="Arial" w:eastAsia="Arial" w:hAnsi="Arial" w:cs="Arial"/>
                <w:b/>
                <w:sz w:val="20"/>
                <w:szCs w:val="20"/>
              </w:rPr>
              <w:t xml:space="preserve"> </w:t>
            </w:r>
          </w:p>
        </w:tc>
      </w:tr>
      <w:tr w:rsidR="005F74F8" w:rsidRPr="005F74F8" w14:paraId="4214B522" w14:textId="77777777" w:rsidTr="005F74F8">
        <w:trPr>
          <w:trHeight w:val="483"/>
          <w:jc w:val="center"/>
        </w:trPr>
        <w:tc>
          <w:tcPr>
            <w:tcW w:w="2260" w:type="dxa"/>
            <w:tcBorders>
              <w:top w:val="single" w:sz="4" w:space="0" w:color="000000"/>
              <w:left w:val="single" w:sz="4" w:space="0" w:color="000000"/>
              <w:bottom w:val="single" w:sz="4" w:space="0" w:color="000000"/>
              <w:right w:val="single" w:sz="4" w:space="0" w:color="000000"/>
            </w:tcBorders>
          </w:tcPr>
          <w:p w14:paraId="6605966A" w14:textId="4AE56D66" w:rsidR="00E2360F" w:rsidRPr="005F74F8" w:rsidRDefault="00E2360F" w:rsidP="005F74F8">
            <w:pPr>
              <w:spacing w:after="0"/>
              <w:rPr>
                <w:sz w:val="20"/>
                <w:szCs w:val="20"/>
              </w:rPr>
            </w:pPr>
            <w:r w:rsidRPr="005F74F8">
              <w:rPr>
                <w:rFonts w:ascii="Arial" w:eastAsia="Arial" w:hAnsi="Arial" w:cs="Arial"/>
                <w:sz w:val="20"/>
                <w:szCs w:val="20"/>
              </w:rPr>
              <w:t>Improved</w:t>
            </w:r>
            <w:r w:rsidR="00E34691">
              <w:rPr>
                <w:rFonts w:ascii="Arial" w:eastAsia="Arial" w:hAnsi="Arial" w:cs="Arial"/>
                <w:sz w:val="20"/>
                <w:szCs w:val="20"/>
              </w:rPr>
              <w:t>/maintained</w:t>
            </w:r>
            <w:r w:rsidRPr="005F74F8">
              <w:rPr>
                <w:rFonts w:ascii="Arial" w:eastAsia="Arial" w:hAnsi="Arial" w:cs="Arial"/>
                <w:sz w:val="20"/>
                <w:szCs w:val="20"/>
              </w:rPr>
              <w:t xml:space="preserve"> KS1/2 results </w:t>
            </w:r>
          </w:p>
        </w:tc>
        <w:tc>
          <w:tcPr>
            <w:tcW w:w="2552" w:type="dxa"/>
            <w:tcBorders>
              <w:top w:val="single" w:sz="4" w:space="0" w:color="000000"/>
              <w:left w:val="single" w:sz="4" w:space="0" w:color="000000"/>
              <w:bottom w:val="single" w:sz="4" w:space="0" w:color="000000"/>
              <w:right w:val="single" w:sz="4" w:space="0" w:color="000000"/>
            </w:tcBorders>
          </w:tcPr>
          <w:p w14:paraId="7F684CC7" w14:textId="77777777" w:rsidR="00E2360F" w:rsidRPr="005F74F8" w:rsidRDefault="00E2360F" w:rsidP="005F74F8">
            <w:pPr>
              <w:spacing w:after="0"/>
              <w:ind w:left="2"/>
              <w:rPr>
                <w:sz w:val="20"/>
                <w:szCs w:val="20"/>
              </w:rPr>
            </w:pPr>
            <w:r w:rsidRPr="005F74F8">
              <w:rPr>
                <w:rFonts w:ascii="Arial" w:eastAsia="Arial" w:hAnsi="Arial" w:cs="Arial"/>
                <w:sz w:val="20"/>
                <w:szCs w:val="20"/>
              </w:rPr>
              <w:t xml:space="preserve">Intervention groups in place when returning to school </w:t>
            </w:r>
          </w:p>
        </w:tc>
        <w:tc>
          <w:tcPr>
            <w:tcW w:w="2291" w:type="dxa"/>
            <w:tcBorders>
              <w:top w:val="single" w:sz="4" w:space="0" w:color="000000"/>
              <w:left w:val="single" w:sz="4" w:space="0" w:color="000000"/>
              <w:bottom w:val="single" w:sz="4" w:space="0" w:color="000000"/>
              <w:right w:val="single" w:sz="4" w:space="0" w:color="000000"/>
            </w:tcBorders>
          </w:tcPr>
          <w:p w14:paraId="5F565A30" w14:textId="77777777" w:rsidR="00E2360F" w:rsidRPr="005F74F8" w:rsidRDefault="00E2360F" w:rsidP="005F74F8">
            <w:pPr>
              <w:spacing w:after="0"/>
              <w:ind w:left="2"/>
              <w:rPr>
                <w:sz w:val="20"/>
                <w:szCs w:val="20"/>
              </w:rPr>
            </w:pPr>
            <w:r w:rsidRPr="005F74F8">
              <w:rPr>
                <w:rFonts w:ascii="Arial" w:eastAsia="Arial" w:hAnsi="Arial" w:cs="Arial"/>
                <w:sz w:val="20"/>
                <w:szCs w:val="20"/>
              </w:rPr>
              <w:t xml:space="preserve">Minimise impact on school closure  </w:t>
            </w:r>
          </w:p>
        </w:tc>
        <w:tc>
          <w:tcPr>
            <w:tcW w:w="2670" w:type="dxa"/>
            <w:tcBorders>
              <w:top w:val="single" w:sz="4" w:space="0" w:color="000000"/>
              <w:left w:val="single" w:sz="4" w:space="0" w:color="000000"/>
              <w:bottom w:val="single" w:sz="4" w:space="0" w:color="000000"/>
              <w:right w:val="single" w:sz="4" w:space="0" w:color="000000"/>
            </w:tcBorders>
          </w:tcPr>
          <w:p w14:paraId="0ECED2DC" w14:textId="77777777" w:rsidR="00E2360F" w:rsidRPr="005F74F8" w:rsidRDefault="00E2360F" w:rsidP="005F74F8">
            <w:pPr>
              <w:spacing w:after="0"/>
              <w:ind w:left="2"/>
              <w:rPr>
                <w:sz w:val="20"/>
                <w:szCs w:val="20"/>
              </w:rPr>
            </w:pPr>
            <w:r w:rsidRPr="005F74F8">
              <w:rPr>
                <w:rFonts w:ascii="Arial" w:eastAsia="Arial" w:hAnsi="Arial" w:cs="Arial"/>
                <w:sz w:val="20"/>
                <w:szCs w:val="20"/>
              </w:rPr>
              <w:t xml:space="preserve">To continue and maintain </w:t>
            </w:r>
          </w:p>
        </w:tc>
        <w:tc>
          <w:tcPr>
            <w:tcW w:w="1122" w:type="dxa"/>
            <w:tcBorders>
              <w:top w:val="single" w:sz="4" w:space="0" w:color="000000"/>
              <w:left w:val="single" w:sz="4" w:space="0" w:color="000000"/>
              <w:bottom w:val="single" w:sz="4" w:space="0" w:color="000000"/>
              <w:right w:val="single" w:sz="4" w:space="0" w:color="000000"/>
            </w:tcBorders>
          </w:tcPr>
          <w:p w14:paraId="2F7BF938" w14:textId="74290C9C" w:rsidR="00E2360F" w:rsidRPr="005F74F8" w:rsidRDefault="00E2360F" w:rsidP="005F74F8">
            <w:pPr>
              <w:spacing w:after="0"/>
              <w:rPr>
                <w:sz w:val="20"/>
                <w:szCs w:val="20"/>
              </w:rPr>
            </w:pPr>
            <w:r w:rsidRPr="005F74F8">
              <w:rPr>
                <w:rFonts w:ascii="Arial" w:eastAsia="Arial" w:hAnsi="Arial" w:cs="Arial"/>
                <w:b/>
                <w:sz w:val="20"/>
                <w:szCs w:val="20"/>
              </w:rPr>
              <w:t>£</w:t>
            </w:r>
            <w:r w:rsidR="009C56F7">
              <w:rPr>
                <w:rFonts w:ascii="Arial" w:eastAsia="Arial" w:hAnsi="Arial" w:cs="Arial"/>
                <w:b/>
                <w:sz w:val="20"/>
                <w:szCs w:val="20"/>
              </w:rPr>
              <w:t>6,593</w:t>
            </w:r>
            <w:r w:rsidRPr="005F74F8">
              <w:rPr>
                <w:rFonts w:ascii="Arial" w:eastAsia="Arial" w:hAnsi="Arial" w:cs="Arial"/>
                <w:b/>
                <w:sz w:val="20"/>
                <w:szCs w:val="20"/>
              </w:rPr>
              <w:t xml:space="preserve"> </w:t>
            </w:r>
          </w:p>
        </w:tc>
      </w:tr>
      <w:tr w:rsidR="00E2360F" w:rsidRPr="005F74F8" w14:paraId="790860A9" w14:textId="77777777" w:rsidTr="005F74F8">
        <w:trPr>
          <w:trHeight w:val="309"/>
          <w:jc w:val="center"/>
        </w:trPr>
        <w:tc>
          <w:tcPr>
            <w:tcW w:w="7103" w:type="dxa"/>
            <w:gridSpan w:val="3"/>
            <w:tcBorders>
              <w:top w:val="single" w:sz="4" w:space="0" w:color="000000"/>
              <w:left w:val="single" w:sz="4" w:space="0" w:color="000000"/>
              <w:bottom w:val="single" w:sz="4" w:space="0" w:color="000000"/>
              <w:right w:val="nil"/>
            </w:tcBorders>
          </w:tcPr>
          <w:p w14:paraId="2F75A063"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Targeted support </w:t>
            </w:r>
          </w:p>
        </w:tc>
        <w:tc>
          <w:tcPr>
            <w:tcW w:w="2670" w:type="dxa"/>
            <w:tcBorders>
              <w:top w:val="single" w:sz="4" w:space="0" w:color="000000"/>
              <w:left w:val="nil"/>
              <w:bottom w:val="single" w:sz="4" w:space="0" w:color="000000"/>
              <w:right w:val="nil"/>
            </w:tcBorders>
          </w:tcPr>
          <w:p w14:paraId="4E96B0EF" w14:textId="77777777" w:rsidR="00E2360F" w:rsidRPr="005F74F8" w:rsidRDefault="00E2360F" w:rsidP="00EC0949">
            <w:pPr>
              <w:rPr>
                <w:sz w:val="20"/>
                <w:szCs w:val="20"/>
              </w:rPr>
            </w:pPr>
          </w:p>
        </w:tc>
        <w:tc>
          <w:tcPr>
            <w:tcW w:w="1122" w:type="dxa"/>
            <w:tcBorders>
              <w:top w:val="single" w:sz="4" w:space="0" w:color="000000"/>
              <w:left w:val="nil"/>
              <w:bottom w:val="single" w:sz="4" w:space="0" w:color="000000"/>
              <w:right w:val="single" w:sz="4" w:space="0" w:color="000000"/>
            </w:tcBorders>
          </w:tcPr>
          <w:p w14:paraId="060E98CB" w14:textId="77777777" w:rsidR="00E2360F" w:rsidRPr="005F74F8" w:rsidRDefault="00E2360F" w:rsidP="00EC0949">
            <w:pPr>
              <w:rPr>
                <w:sz w:val="20"/>
                <w:szCs w:val="20"/>
              </w:rPr>
            </w:pPr>
          </w:p>
        </w:tc>
      </w:tr>
      <w:tr w:rsidR="005F74F8" w:rsidRPr="005F74F8" w14:paraId="1059A8E0" w14:textId="77777777" w:rsidTr="005F74F8">
        <w:trPr>
          <w:trHeight w:val="351"/>
          <w:jc w:val="center"/>
        </w:trPr>
        <w:tc>
          <w:tcPr>
            <w:tcW w:w="2260" w:type="dxa"/>
            <w:tcBorders>
              <w:top w:val="single" w:sz="4" w:space="0" w:color="000000"/>
              <w:left w:val="single" w:sz="4" w:space="0" w:color="000000"/>
              <w:bottom w:val="single" w:sz="4" w:space="0" w:color="000000"/>
              <w:right w:val="single" w:sz="4" w:space="0" w:color="000000"/>
            </w:tcBorders>
          </w:tcPr>
          <w:p w14:paraId="51712715"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Desired outcome </w:t>
            </w:r>
          </w:p>
        </w:tc>
        <w:tc>
          <w:tcPr>
            <w:tcW w:w="2552" w:type="dxa"/>
            <w:tcBorders>
              <w:top w:val="single" w:sz="4" w:space="0" w:color="000000"/>
              <w:left w:val="single" w:sz="4" w:space="0" w:color="000000"/>
              <w:bottom w:val="single" w:sz="4" w:space="0" w:color="000000"/>
              <w:right w:val="single" w:sz="4" w:space="0" w:color="000000"/>
            </w:tcBorders>
          </w:tcPr>
          <w:p w14:paraId="7CF53BD9"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Chosen action / approach </w:t>
            </w:r>
          </w:p>
        </w:tc>
        <w:tc>
          <w:tcPr>
            <w:tcW w:w="2291" w:type="dxa"/>
            <w:tcBorders>
              <w:top w:val="single" w:sz="4" w:space="0" w:color="000000"/>
              <w:left w:val="single" w:sz="4" w:space="0" w:color="000000"/>
              <w:bottom w:val="single" w:sz="4" w:space="0" w:color="000000"/>
              <w:right w:val="single" w:sz="4" w:space="0" w:color="000000"/>
            </w:tcBorders>
          </w:tcPr>
          <w:p w14:paraId="6705F143"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Estimated impact:  </w:t>
            </w:r>
          </w:p>
        </w:tc>
        <w:tc>
          <w:tcPr>
            <w:tcW w:w="2670" w:type="dxa"/>
            <w:tcBorders>
              <w:top w:val="single" w:sz="4" w:space="0" w:color="000000"/>
              <w:left w:val="single" w:sz="4" w:space="0" w:color="000000"/>
              <w:bottom w:val="single" w:sz="4" w:space="0" w:color="000000"/>
              <w:right w:val="single" w:sz="4" w:space="0" w:color="000000"/>
            </w:tcBorders>
            <w:vAlign w:val="bottom"/>
          </w:tcPr>
          <w:p w14:paraId="6A0573E0"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Lessons learned  </w:t>
            </w:r>
          </w:p>
          <w:p w14:paraId="6E3B3EB9"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71E2440D"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Cost </w:t>
            </w:r>
          </w:p>
        </w:tc>
      </w:tr>
      <w:tr w:rsidR="005F74F8" w:rsidRPr="005F74F8" w14:paraId="79D7AC4F" w14:textId="77777777" w:rsidTr="005F74F8">
        <w:trPr>
          <w:trHeight w:val="483"/>
          <w:jc w:val="center"/>
        </w:trPr>
        <w:tc>
          <w:tcPr>
            <w:tcW w:w="2260" w:type="dxa"/>
            <w:tcBorders>
              <w:top w:val="single" w:sz="4" w:space="0" w:color="000000"/>
              <w:left w:val="single" w:sz="4" w:space="0" w:color="000000"/>
              <w:bottom w:val="single" w:sz="4" w:space="0" w:color="000000"/>
              <w:right w:val="single" w:sz="4" w:space="0" w:color="000000"/>
            </w:tcBorders>
          </w:tcPr>
          <w:p w14:paraId="5AB0607B" w14:textId="77777777" w:rsidR="00E2360F" w:rsidRPr="005F74F8" w:rsidRDefault="00E2360F" w:rsidP="00EC0949">
            <w:pPr>
              <w:spacing w:after="0"/>
              <w:rPr>
                <w:sz w:val="20"/>
                <w:szCs w:val="20"/>
              </w:rPr>
            </w:pPr>
            <w:r w:rsidRPr="005F74F8">
              <w:rPr>
                <w:rFonts w:ascii="Arial" w:eastAsia="Arial" w:hAnsi="Arial" w:cs="Arial"/>
                <w:sz w:val="20"/>
                <w:szCs w:val="20"/>
              </w:rPr>
              <w:t xml:space="preserve">Pupil Support </w:t>
            </w:r>
          </w:p>
        </w:tc>
        <w:tc>
          <w:tcPr>
            <w:tcW w:w="2552" w:type="dxa"/>
            <w:tcBorders>
              <w:top w:val="single" w:sz="4" w:space="0" w:color="000000"/>
              <w:left w:val="single" w:sz="4" w:space="0" w:color="000000"/>
              <w:bottom w:val="single" w:sz="4" w:space="0" w:color="000000"/>
              <w:right w:val="single" w:sz="4" w:space="0" w:color="000000"/>
            </w:tcBorders>
          </w:tcPr>
          <w:p w14:paraId="3B7236FC" w14:textId="132201E8" w:rsidR="00E2360F" w:rsidRPr="005F74F8" w:rsidRDefault="00E2360F" w:rsidP="00EC0949">
            <w:pPr>
              <w:spacing w:after="0"/>
              <w:ind w:left="2"/>
              <w:rPr>
                <w:sz w:val="20"/>
                <w:szCs w:val="20"/>
              </w:rPr>
            </w:pPr>
            <w:r w:rsidRPr="005F74F8">
              <w:rPr>
                <w:rFonts w:ascii="Arial" w:eastAsia="Arial" w:hAnsi="Arial" w:cs="Arial"/>
                <w:sz w:val="20"/>
                <w:szCs w:val="20"/>
              </w:rPr>
              <w:t xml:space="preserve">Specialist support </w:t>
            </w:r>
            <w:r w:rsidR="00E34691">
              <w:rPr>
                <w:rFonts w:ascii="Arial" w:eastAsia="Arial" w:hAnsi="Arial" w:cs="Arial"/>
                <w:sz w:val="20"/>
                <w:szCs w:val="20"/>
              </w:rPr>
              <w:t>including EAL support</w:t>
            </w:r>
            <w:r w:rsidR="009144C1">
              <w:rPr>
                <w:rFonts w:ascii="Arial" w:eastAsia="Arial" w:hAnsi="Arial" w:cs="Arial"/>
                <w:sz w:val="20"/>
                <w:szCs w:val="20"/>
              </w:rPr>
              <w:t xml:space="preserve"> and emotional wellbeing support</w:t>
            </w:r>
          </w:p>
        </w:tc>
        <w:tc>
          <w:tcPr>
            <w:tcW w:w="2291" w:type="dxa"/>
            <w:tcBorders>
              <w:top w:val="single" w:sz="4" w:space="0" w:color="000000"/>
              <w:left w:val="single" w:sz="4" w:space="0" w:color="000000"/>
              <w:bottom w:val="single" w:sz="4" w:space="0" w:color="000000"/>
              <w:right w:val="single" w:sz="4" w:space="0" w:color="000000"/>
            </w:tcBorders>
          </w:tcPr>
          <w:p w14:paraId="27B43565" w14:textId="77777777" w:rsidR="00E2360F" w:rsidRPr="005F74F8" w:rsidRDefault="00E2360F" w:rsidP="00EC0949">
            <w:pPr>
              <w:spacing w:after="0"/>
              <w:ind w:left="2"/>
              <w:rPr>
                <w:sz w:val="20"/>
                <w:szCs w:val="20"/>
              </w:rPr>
            </w:pPr>
            <w:r w:rsidRPr="005F74F8">
              <w:rPr>
                <w:rFonts w:ascii="Arial" w:eastAsia="Arial" w:hAnsi="Arial" w:cs="Arial"/>
                <w:sz w:val="20"/>
                <w:szCs w:val="20"/>
              </w:rPr>
              <w:t xml:space="preserve">Immediate support available </w:t>
            </w:r>
          </w:p>
        </w:tc>
        <w:tc>
          <w:tcPr>
            <w:tcW w:w="2670" w:type="dxa"/>
            <w:tcBorders>
              <w:top w:val="single" w:sz="4" w:space="0" w:color="000000"/>
              <w:left w:val="single" w:sz="4" w:space="0" w:color="000000"/>
              <w:bottom w:val="single" w:sz="4" w:space="0" w:color="000000"/>
              <w:right w:val="single" w:sz="4" w:space="0" w:color="000000"/>
            </w:tcBorders>
          </w:tcPr>
          <w:p w14:paraId="477120FC" w14:textId="1875384D" w:rsidR="009144C1" w:rsidRPr="009144C1" w:rsidRDefault="00E34691" w:rsidP="009144C1">
            <w:pPr>
              <w:spacing w:after="0"/>
              <w:ind w:left="2"/>
              <w:rPr>
                <w:rFonts w:ascii="Arial" w:eastAsia="Arial" w:hAnsi="Arial" w:cs="Arial"/>
                <w:sz w:val="20"/>
                <w:szCs w:val="20"/>
              </w:rPr>
            </w:pPr>
            <w:r>
              <w:rPr>
                <w:rFonts w:ascii="Arial" w:eastAsia="Arial" w:hAnsi="Arial" w:cs="Arial"/>
                <w:sz w:val="20"/>
                <w:szCs w:val="20"/>
              </w:rPr>
              <w:t xml:space="preserve">Translation service </w:t>
            </w:r>
            <w:r w:rsidR="009144C1">
              <w:rPr>
                <w:rFonts w:ascii="Arial" w:eastAsia="Arial" w:hAnsi="Arial" w:cs="Arial"/>
                <w:sz w:val="20"/>
                <w:szCs w:val="20"/>
              </w:rPr>
              <w:t xml:space="preserve">and Pace2Be </w:t>
            </w:r>
            <w:r>
              <w:rPr>
                <w:rFonts w:ascii="Arial" w:eastAsia="Arial" w:hAnsi="Arial" w:cs="Arial"/>
                <w:sz w:val="20"/>
                <w:szCs w:val="20"/>
              </w:rPr>
              <w:t xml:space="preserve">needs </w:t>
            </w:r>
            <w:r w:rsidR="009144C1">
              <w:rPr>
                <w:rFonts w:ascii="Arial" w:eastAsia="Arial" w:hAnsi="Arial" w:cs="Arial"/>
                <w:sz w:val="20"/>
                <w:szCs w:val="20"/>
              </w:rPr>
              <w:t>to be maintained. Interpreters crucial. Review of interventions for September 2023</w:t>
            </w:r>
          </w:p>
        </w:tc>
        <w:tc>
          <w:tcPr>
            <w:tcW w:w="1122" w:type="dxa"/>
            <w:tcBorders>
              <w:top w:val="single" w:sz="4" w:space="0" w:color="000000"/>
              <w:left w:val="single" w:sz="4" w:space="0" w:color="000000"/>
              <w:bottom w:val="single" w:sz="4" w:space="0" w:color="000000"/>
              <w:right w:val="single" w:sz="4" w:space="0" w:color="000000"/>
            </w:tcBorders>
          </w:tcPr>
          <w:p w14:paraId="5A0B2D5A" w14:textId="552B815D" w:rsidR="00E2360F" w:rsidRPr="005F74F8" w:rsidRDefault="00E2360F" w:rsidP="00EC0949">
            <w:pPr>
              <w:spacing w:after="0"/>
              <w:rPr>
                <w:sz w:val="20"/>
                <w:szCs w:val="20"/>
              </w:rPr>
            </w:pPr>
            <w:r w:rsidRPr="005F74F8">
              <w:rPr>
                <w:rFonts w:ascii="Arial" w:eastAsia="Arial" w:hAnsi="Arial" w:cs="Arial"/>
                <w:b/>
                <w:sz w:val="20"/>
                <w:szCs w:val="20"/>
              </w:rPr>
              <w:t>£</w:t>
            </w:r>
            <w:r w:rsidR="009144C1">
              <w:rPr>
                <w:rFonts w:ascii="Arial" w:eastAsia="Arial" w:hAnsi="Arial" w:cs="Arial"/>
                <w:b/>
                <w:sz w:val="20"/>
                <w:szCs w:val="20"/>
              </w:rPr>
              <w:t>130</w:t>
            </w:r>
            <w:r w:rsidR="009C56F7">
              <w:rPr>
                <w:rFonts w:ascii="Arial" w:eastAsia="Arial" w:hAnsi="Arial" w:cs="Arial"/>
                <w:b/>
                <w:sz w:val="20"/>
                <w:szCs w:val="20"/>
              </w:rPr>
              <w:t>,300</w:t>
            </w:r>
            <w:r w:rsidRPr="005F74F8">
              <w:rPr>
                <w:rFonts w:ascii="Arial" w:eastAsia="Arial" w:hAnsi="Arial" w:cs="Arial"/>
                <w:b/>
                <w:sz w:val="20"/>
                <w:szCs w:val="20"/>
              </w:rPr>
              <w:t xml:space="preserve"> </w:t>
            </w:r>
          </w:p>
        </w:tc>
      </w:tr>
      <w:tr w:rsidR="00E2360F" w:rsidRPr="005F74F8" w14:paraId="3FECF992" w14:textId="77777777" w:rsidTr="005F74F8">
        <w:trPr>
          <w:trHeight w:val="306"/>
          <w:jc w:val="center"/>
        </w:trPr>
        <w:tc>
          <w:tcPr>
            <w:tcW w:w="7103" w:type="dxa"/>
            <w:gridSpan w:val="3"/>
            <w:tcBorders>
              <w:top w:val="single" w:sz="4" w:space="0" w:color="000000"/>
              <w:left w:val="single" w:sz="4" w:space="0" w:color="000000"/>
              <w:bottom w:val="single" w:sz="4" w:space="0" w:color="000000"/>
              <w:right w:val="nil"/>
            </w:tcBorders>
          </w:tcPr>
          <w:p w14:paraId="61FA5200"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Other approaches </w:t>
            </w:r>
          </w:p>
        </w:tc>
        <w:tc>
          <w:tcPr>
            <w:tcW w:w="2670" w:type="dxa"/>
            <w:tcBorders>
              <w:top w:val="single" w:sz="4" w:space="0" w:color="000000"/>
              <w:left w:val="nil"/>
              <w:bottom w:val="single" w:sz="4" w:space="0" w:color="000000"/>
              <w:right w:val="nil"/>
            </w:tcBorders>
          </w:tcPr>
          <w:p w14:paraId="5B28BB37" w14:textId="77777777" w:rsidR="00E2360F" w:rsidRPr="005F74F8" w:rsidRDefault="00E2360F" w:rsidP="00EC0949">
            <w:pPr>
              <w:rPr>
                <w:sz w:val="20"/>
                <w:szCs w:val="20"/>
              </w:rPr>
            </w:pPr>
          </w:p>
        </w:tc>
        <w:tc>
          <w:tcPr>
            <w:tcW w:w="1122" w:type="dxa"/>
            <w:tcBorders>
              <w:top w:val="single" w:sz="4" w:space="0" w:color="000000"/>
              <w:left w:val="nil"/>
              <w:bottom w:val="single" w:sz="4" w:space="0" w:color="000000"/>
              <w:right w:val="single" w:sz="4" w:space="0" w:color="000000"/>
            </w:tcBorders>
          </w:tcPr>
          <w:p w14:paraId="44A3186D" w14:textId="77777777" w:rsidR="00E2360F" w:rsidRPr="005F74F8" w:rsidRDefault="00E2360F" w:rsidP="00EC0949">
            <w:pPr>
              <w:rPr>
                <w:sz w:val="20"/>
                <w:szCs w:val="20"/>
              </w:rPr>
            </w:pPr>
          </w:p>
        </w:tc>
      </w:tr>
      <w:tr w:rsidR="005F74F8" w:rsidRPr="005F74F8" w14:paraId="42017D0E" w14:textId="77777777" w:rsidTr="005F74F8">
        <w:trPr>
          <w:trHeight w:val="353"/>
          <w:jc w:val="center"/>
        </w:trPr>
        <w:tc>
          <w:tcPr>
            <w:tcW w:w="2260" w:type="dxa"/>
            <w:tcBorders>
              <w:top w:val="single" w:sz="4" w:space="0" w:color="000000"/>
              <w:left w:val="single" w:sz="4" w:space="0" w:color="000000"/>
              <w:bottom w:val="single" w:sz="4" w:space="0" w:color="000000"/>
              <w:right w:val="single" w:sz="4" w:space="0" w:color="000000"/>
            </w:tcBorders>
          </w:tcPr>
          <w:p w14:paraId="012F2611"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Desired outcome </w:t>
            </w:r>
          </w:p>
        </w:tc>
        <w:tc>
          <w:tcPr>
            <w:tcW w:w="2552" w:type="dxa"/>
            <w:tcBorders>
              <w:top w:val="single" w:sz="4" w:space="0" w:color="000000"/>
              <w:left w:val="single" w:sz="4" w:space="0" w:color="000000"/>
              <w:bottom w:val="single" w:sz="4" w:space="0" w:color="000000"/>
              <w:right w:val="single" w:sz="4" w:space="0" w:color="000000"/>
            </w:tcBorders>
          </w:tcPr>
          <w:p w14:paraId="08D40D5B"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Chosen action / approach </w:t>
            </w:r>
          </w:p>
        </w:tc>
        <w:tc>
          <w:tcPr>
            <w:tcW w:w="2291" w:type="dxa"/>
            <w:tcBorders>
              <w:top w:val="single" w:sz="4" w:space="0" w:color="000000"/>
              <w:left w:val="single" w:sz="4" w:space="0" w:color="000000"/>
              <w:bottom w:val="single" w:sz="4" w:space="0" w:color="000000"/>
              <w:right w:val="single" w:sz="4" w:space="0" w:color="000000"/>
            </w:tcBorders>
          </w:tcPr>
          <w:p w14:paraId="4A1111DC"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Estimated impact:  </w:t>
            </w:r>
          </w:p>
        </w:tc>
        <w:tc>
          <w:tcPr>
            <w:tcW w:w="2670" w:type="dxa"/>
            <w:tcBorders>
              <w:top w:val="single" w:sz="4" w:space="0" w:color="000000"/>
              <w:left w:val="single" w:sz="4" w:space="0" w:color="000000"/>
              <w:bottom w:val="single" w:sz="4" w:space="0" w:color="000000"/>
              <w:right w:val="single" w:sz="4" w:space="0" w:color="000000"/>
            </w:tcBorders>
            <w:vAlign w:val="bottom"/>
          </w:tcPr>
          <w:p w14:paraId="0BE6F3F0"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Lessons learned  </w:t>
            </w:r>
          </w:p>
          <w:p w14:paraId="3628F33D" w14:textId="77777777" w:rsidR="00E2360F" w:rsidRPr="005F74F8" w:rsidRDefault="00E2360F" w:rsidP="00EC0949">
            <w:pPr>
              <w:spacing w:after="0"/>
              <w:ind w:left="2"/>
              <w:rPr>
                <w:sz w:val="20"/>
                <w:szCs w:val="20"/>
              </w:rPr>
            </w:pPr>
            <w:r w:rsidRPr="005F74F8">
              <w:rPr>
                <w:rFonts w:ascii="Arial" w:eastAsia="Arial" w:hAnsi="Arial" w:cs="Arial"/>
                <w:b/>
                <w:sz w:val="20"/>
                <w:szCs w:val="20"/>
              </w:rPr>
              <w:t xml:space="preserve"> </w:t>
            </w:r>
          </w:p>
        </w:tc>
        <w:tc>
          <w:tcPr>
            <w:tcW w:w="1122" w:type="dxa"/>
            <w:tcBorders>
              <w:top w:val="single" w:sz="4" w:space="0" w:color="000000"/>
              <w:left w:val="single" w:sz="4" w:space="0" w:color="000000"/>
              <w:bottom w:val="single" w:sz="4" w:space="0" w:color="000000"/>
              <w:right w:val="single" w:sz="4" w:space="0" w:color="000000"/>
            </w:tcBorders>
          </w:tcPr>
          <w:p w14:paraId="5C0835B6" w14:textId="77777777" w:rsidR="00E2360F" w:rsidRPr="005F74F8" w:rsidRDefault="00E2360F" w:rsidP="00EC0949">
            <w:pPr>
              <w:spacing w:after="0"/>
              <w:rPr>
                <w:sz w:val="20"/>
                <w:szCs w:val="20"/>
              </w:rPr>
            </w:pPr>
            <w:r w:rsidRPr="005F74F8">
              <w:rPr>
                <w:rFonts w:ascii="Arial" w:eastAsia="Arial" w:hAnsi="Arial" w:cs="Arial"/>
                <w:b/>
                <w:sz w:val="20"/>
                <w:szCs w:val="20"/>
              </w:rPr>
              <w:t xml:space="preserve">Cost </w:t>
            </w:r>
          </w:p>
        </w:tc>
      </w:tr>
      <w:tr w:rsidR="005F74F8" w:rsidRPr="005F74F8" w14:paraId="2370C9D6" w14:textId="77777777" w:rsidTr="005F74F8">
        <w:trPr>
          <w:trHeight w:val="484"/>
          <w:jc w:val="center"/>
        </w:trPr>
        <w:tc>
          <w:tcPr>
            <w:tcW w:w="2260" w:type="dxa"/>
            <w:tcBorders>
              <w:top w:val="single" w:sz="4" w:space="0" w:color="000000"/>
              <w:left w:val="single" w:sz="4" w:space="0" w:color="000000"/>
              <w:bottom w:val="single" w:sz="4" w:space="0" w:color="000000"/>
              <w:right w:val="single" w:sz="4" w:space="0" w:color="000000"/>
            </w:tcBorders>
          </w:tcPr>
          <w:p w14:paraId="4E27582E" w14:textId="77777777" w:rsidR="00E2360F" w:rsidRPr="005F74F8" w:rsidRDefault="00E2360F" w:rsidP="00EC0949">
            <w:pPr>
              <w:spacing w:after="0"/>
              <w:rPr>
                <w:sz w:val="20"/>
                <w:szCs w:val="20"/>
              </w:rPr>
            </w:pPr>
            <w:r w:rsidRPr="005F74F8">
              <w:rPr>
                <w:rFonts w:ascii="Arial" w:eastAsia="Arial" w:hAnsi="Arial" w:cs="Arial"/>
                <w:sz w:val="20"/>
                <w:szCs w:val="20"/>
              </w:rPr>
              <w:t xml:space="preserve">School Uniform </w:t>
            </w:r>
          </w:p>
        </w:tc>
        <w:tc>
          <w:tcPr>
            <w:tcW w:w="2552" w:type="dxa"/>
            <w:tcBorders>
              <w:top w:val="single" w:sz="4" w:space="0" w:color="000000"/>
              <w:left w:val="single" w:sz="4" w:space="0" w:color="000000"/>
              <w:bottom w:val="single" w:sz="4" w:space="0" w:color="000000"/>
              <w:right w:val="single" w:sz="4" w:space="0" w:color="000000"/>
            </w:tcBorders>
          </w:tcPr>
          <w:p w14:paraId="566EAB3C" w14:textId="628526BB" w:rsidR="00E2360F" w:rsidRPr="005F74F8" w:rsidRDefault="00E34691" w:rsidP="00EC0949">
            <w:pPr>
              <w:spacing w:after="0"/>
              <w:ind w:left="2"/>
              <w:rPr>
                <w:sz w:val="20"/>
                <w:szCs w:val="20"/>
              </w:rPr>
            </w:pPr>
            <w:r>
              <w:rPr>
                <w:rFonts w:ascii="Arial" w:eastAsia="Arial" w:hAnsi="Arial" w:cs="Arial"/>
                <w:sz w:val="20"/>
                <w:szCs w:val="20"/>
              </w:rPr>
              <w:t>Free allocation at start of year</w:t>
            </w:r>
            <w:r w:rsidR="00E2360F" w:rsidRPr="005F74F8">
              <w:rPr>
                <w:rFonts w:ascii="Arial" w:eastAsia="Arial" w:hAnsi="Arial" w:cs="Arial"/>
                <w:sz w:val="20"/>
                <w:szCs w:val="20"/>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6EAC046C" w14:textId="77777777" w:rsidR="00E2360F" w:rsidRPr="005F74F8" w:rsidRDefault="00E2360F" w:rsidP="00EC0949">
            <w:pPr>
              <w:spacing w:after="0"/>
              <w:ind w:left="2"/>
              <w:rPr>
                <w:sz w:val="20"/>
                <w:szCs w:val="20"/>
              </w:rPr>
            </w:pPr>
            <w:r w:rsidRPr="005F74F8">
              <w:rPr>
                <w:rFonts w:ascii="Arial" w:eastAsia="Arial" w:hAnsi="Arial" w:cs="Arial"/>
                <w:sz w:val="20"/>
                <w:szCs w:val="20"/>
              </w:rPr>
              <w:t xml:space="preserve">All pupils to wear school uniform </w:t>
            </w:r>
          </w:p>
        </w:tc>
        <w:tc>
          <w:tcPr>
            <w:tcW w:w="2670" w:type="dxa"/>
            <w:tcBorders>
              <w:top w:val="single" w:sz="4" w:space="0" w:color="000000"/>
              <w:left w:val="single" w:sz="4" w:space="0" w:color="000000"/>
              <w:bottom w:val="single" w:sz="4" w:space="0" w:color="000000"/>
              <w:right w:val="single" w:sz="4" w:space="0" w:color="000000"/>
            </w:tcBorders>
          </w:tcPr>
          <w:p w14:paraId="58328517" w14:textId="77777777" w:rsidR="00E2360F" w:rsidRPr="005F74F8" w:rsidRDefault="00E2360F" w:rsidP="00EC0949">
            <w:pPr>
              <w:spacing w:after="0"/>
              <w:ind w:left="2"/>
              <w:rPr>
                <w:sz w:val="20"/>
                <w:szCs w:val="20"/>
              </w:rPr>
            </w:pPr>
            <w:r w:rsidRPr="005F74F8">
              <w:rPr>
                <w:rFonts w:ascii="Arial" w:eastAsia="Arial" w:hAnsi="Arial" w:cs="Arial"/>
                <w:sz w:val="20"/>
                <w:szCs w:val="20"/>
              </w:rPr>
              <w:t xml:space="preserve">Need for uniform throughout year.  </w:t>
            </w:r>
          </w:p>
        </w:tc>
        <w:tc>
          <w:tcPr>
            <w:tcW w:w="1122" w:type="dxa"/>
            <w:tcBorders>
              <w:top w:val="single" w:sz="4" w:space="0" w:color="000000"/>
              <w:left w:val="single" w:sz="4" w:space="0" w:color="000000"/>
              <w:bottom w:val="single" w:sz="4" w:space="0" w:color="000000"/>
              <w:right w:val="single" w:sz="4" w:space="0" w:color="000000"/>
            </w:tcBorders>
          </w:tcPr>
          <w:p w14:paraId="2528A5E3" w14:textId="56C3F811" w:rsidR="00E2360F" w:rsidRPr="005F74F8" w:rsidRDefault="00E2360F" w:rsidP="00EC0949">
            <w:pPr>
              <w:spacing w:after="0"/>
              <w:rPr>
                <w:sz w:val="20"/>
                <w:szCs w:val="20"/>
              </w:rPr>
            </w:pPr>
            <w:r w:rsidRPr="005F74F8">
              <w:rPr>
                <w:rFonts w:ascii="Arial" w:eastAsia="Arial" w:hAnsi="Arial" w:cs="Arial"/>
                <w:b/>
                <w:sz w:val="20"/>
                <w:szCs w:val="20"/>
              </w:rPr>
              <w:t>£2,</w:t>
            </w:r>
            <w:r w:rsidR="009C56F7">
              <w:rPr>
                <w:rFonts w:ascii="Arial" w:eastAsia="Arial" w:hAnsi="Arial" w:cs="Arial"/>
                <w:b/>
                <w:sz w:val="20"/>
                <w:szCs w:val="20"/>
              </w:rPr>
              <w:t>132</w:t>
            </w:r>
          </w:p>
        </w:tc>
      </w:tr>
      <w:tr w:rsidR="005F74F8" w:rsidRPr="005F74F8" w14:paraId="0CE1DBAA" w14:textId="77777777" w:rsidTr="005F74F8">
        <w:trPr>
          <w:trHeight w:val="483"/>
          <w:jc w:val="center"/>
        </w:trPr>
        <w:tc>
          <w:tcPr>
            <w:tcW w:w="2260" w:type="dxa"/>
            <w:tcBorders>
              <w:top w:val="single" w:sz="4" w:space="0" w:color="000000"/>
              <w:left w:val="single" w:sz="4" w:space="0" w:color="000000"/>
              <w:bottom w:val="single" w:sz="4" w:space="0" w:color="000000"/>
              <w:right w:val="single" w:sz="4" w:space="0" w:color="000000"/>
            </w:tcBorders>
          </w:tcPr>
          <w:p w14:paraId="38FBDE73" w14:textId="4DF6807D" w:rsidR="00E2360F" w:rsidRPr="005F74F8" w:rsidRDefault="00E34691" w:rsidP="00EC0949">
            <w:pPr>
              <w:spacing w:after="0"/>
              <w:ind w:right="3"/>
              <w:rPr>
                <w:sz w:val="20"/>
                <w:szCs w:val="20"/>
              </w:rPr>
            </w:pPr>
            <w:r>
              <w:rPr>
                <w:rFonts w:ascii="Arial" w:eastAsia="Arial" w:hAnsi="Arial" w:cs="Arial"/>
                <w:sz w:val="20"/>
                <w:szCs w:val="20"/>
              </w:rPr>
              <w:t>Curriculum/e</w:t>
            </w:r>
            <w:r w:rsidR="00E2360F" w:rsidRPr="005F74F8">
              <w:rPr>
                <w:rFonts w:ascii="Arial" w:eastAsia="Arial" w:hAnsi="Arial" w:cs="Arial"/>
                <w:sz w:val="20"/>
                <w:szCs w:val="20"/>
              </w:rPr>
              <w:t xml:space="preserve">xtra-curricular </w:t>
            </w:r>
            <w:r>
              <w:rPr>
                <w:rFonts w:ascii="Arial" w:eastAsia="Arial" w:hAnsi="Arial" w:cs="Arial"/>
                <w:sz w:val="20"/>
                <w:szCs w:val="20"/>
              </w:rPr>
              <w:t>resources</w:t>
            </w:r>
          </w:p>
        </w:tc>
        <w:tc>
          <w:tcPr>
            <w:tcW w:w="2552" w:type="dxa"/>
            <w:tcBorders>
              <w:top w:val="single" w:sz="4" w:space="0" w:color="000000"/>
              <w:left w:val="single" w:sz="4" w:space="0" w:color="000000"/>
              <w:bottom w:val="single" w:sz="4" w:space="0" w:color="000000"/>
              <w:right w:val="single" w:sz="4" w:space="0" w:color="000000"/>
            </w:tcBorders>
          </w:tcPr>
          <w:p w14:paraId="3191B519" w14:textId="4774ACEA" w:rsidR="00E2360F" w:rsidRPr="005F74F8" w:rsidRDefault="00E2360F" w:rsidP="00EC0949">
            <w:pPr>
              <w:spacing w:after="0"/>
              <w:ind w:left="2"/>
              <w:rPr>
                <w:sz w:val="20"/>
                <w:szCs w:val="20"/>
              </w:rPr>
            </w:pPr>
            <w:r w:rsidRPr="005F74F8">
              <w:rPr>
                <w:rFonts w:ascii="Arial" w:eastAsia="Arial" w:hAnsi="Arial" w:cs="Arial"/>
                <w:sz w:val="20"/>
                <w:szCs w:val="20"/>
              </w:rPr>
              <w:t xml:space="preserve">Opportunities to widen range of experiences + equipment + </w:t>
            </w:r>
            <w:r w:rsidR="00E34691">
              <w:rPr>
                <w:rFonts w:ascii="Arial" w:eastAsia="Arial" w:hAnsi="Arial" w:cs="Arial"/>
                <w:sz w:val="20"/>
                <w:szCs w:val="20"/>
              </w:rPr>
              <w:t>books</w:t>
            </w:r>
          </w:p>
        </w:tc>
        <w:tc>
          <w:tcPr>
            <w:tcW w:w="2291" w:type="dxa"/>
            <w:tcBorders>
              <w:top w:val="single" w:sz="4" w:space="0" w:color="000000"/>
              <w:left w:val="single" w:sz="4" w:space="0" w:color="000000"/>
              <w:bottom w:val="single" w:sz="4" w:space="0" w:color="000000"/>
              <w:right w:val="single" w:sz="4" w:space="0" w:color="000000"/>
            </w:tcBorders>
          </w:tcPr>
          <w:p w14:paraId="3DDD5952" w14:textId="77777777" w:rsidR="00E2360F" w:rsidRPr="005F74F8" w:rsidRDefault="00E2360F" w:rsidP="00EC0949">
            <w:pPr>
              <w:spacing w:after="0"/>
              <w:ind w:left="2"/>
              <w:rPr>
                <w:sz w:val="20"/>
                <w:szCs w:val="20"/>
              </w:rPr>
            </w:pPr>
            <w:r w:rsidRPr="005F74F8">
              <w:rPr>
                <w:rFonts w:ascii="Arial" w:eastAsia="Arial" w:hAnsi="Arial" w:cs="Arial"/>
                <w:sz w:val="20"/>
                <w:szCs w:val="20"/>
              </w:rPr>
              <w:t xml:space="preserve">Enrichment programmes to impact on curriculum learning and personal development </w:t>
            </w:r>
          </w:p>
        </w:tc>
        <w:tc>
          <w:tcPr>
            <w:tcW w:w="2670" w:type="dxa"/>
            <w:tcBorders>
              <w:top w:val="single" w:sz="4" w:space="0" w:color="000000"/>
              <w:left w:val="single" w:sz="4" w:space="0" w:color="000000"/>
              <w:bottom w:val="single" w:sz="4" w:space="0" w:color="000000"/>
              <w:right w:val="single" w:sz="4" w:space="0" w:color="000000"/>
            </w:tcBorders>
          </w:tcPr>
          <w:p w14:paraId="6FB88570" w14:textId="40A4058A" w:rsidR="00E2360F" w:rsidRPr="005F74F8" w:rsidRDefault="00E34691" w:rsidP="00EC0949">
            <w:pPr>
              <w:spacing w:after="0"/>
              <w:ind w:left="2"/>
              <w:rPr>
                <w:sz w:val="20"/>
                <w:szCs w:val="20"/>
              </w:rPr>
            </w:pPr>
            <w:r>
              <w:rPr>
                <w:rFonts w:ascii="Arial" w:eastAsia="Arial" w:hAnsi="Arial" w:cs="Arial"/>
                <w:sz w:val="20"/>
                <w:szCs w:val="20"/>
              </w:rPr>
              <w:t>Extended resources used effectively to balance missed school experiences</w:t>
            </w:r>
          </w:p>
        </w:tc>
        <w:tc>
          <w:tcPr>
            <w:tcW w:w="1122" w:type="dxa"/>
            <w:tcBorders>
              <w:top w:val="single" w:sz="4" w:space="0" w:color="000000"/>
              <w:left w:val="single" w:sz="4" w:space="0" w:color="000000"/>
              <w:bottom w:val="single" w:sz="4" w:space="0" w:color="000000"/>
              <w:right w:val="single" w:sz="4" w:space="0" w:color="000000"/>
            </w:tcBorders>
          </w:tcPr>
          <w:p w14:paraId="14E4140C" w14:textId="748A1BC2" w:rsidR="00E2360F" w:rsidRPr="005F74F8" w:rsidRDefault="00E2360F" w:rsidP="00EC0949">
            <w:pPr>
              <w:spacing w:after="0"/>
              <w:rPr>
                <w:sz w:val="20"/>
                <w:szCs w:val="20"/>
              </w:rPr>
            </w:pPr>
            <w:r w:rsidRPr="005F74F8">
              <w:rPr>
                <w:rFonts w:ascii="Arial" w:eastAsia="Arial" w:hAnsi="Arial" w:cs="Arial"/>
                <w:b/>
                <w:sz w:val="20"/>
                <w:szCs w:val="20"/>
              </w:rPr>
              <w:t>£</w:t>
            </w:r>
            <w:r w:rsidR="009C56F7">
              <w:rPr>
                <w:rFonts w:ascii="Arial" w:eastAsia="Arial" w:hAnsi="Arial" w:cs="Arial"/>
                <w:b/>
                <w:sz w:val="20"/>
                <w:szCs w:val="20"/>
              </w:rPr>
              <w:t>2,580</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A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6A5"/>
    <w:rsid w:val="00063E06"/>
    <w:rsid w:val="00066B73"/>
    <w:rsid w:val="000820DA"/>
    <w:rsid w:val="000D6F39"/>
    <w:rsid w:val="00120AB1"/>
    <w:rsid w:val="00125FD8"/>
    <w:rsid w:val="00142EAC"/>
    <w:rsid w:val="00160A5B"/>
    <w:rsid w:val="001E5E57"/>
    <w:rsid w:val="002245D4"/>
    <w:rsid w:val="002308C4"/>
    <w:rsid w:val="00266700"/>
    <w:rsid w:val="002D4665"/>
    <w:rsid w:val="004044AA"/>
    <w:rsid w:val="00561459"/>
    <w:rsid w:val="00563254"/>
    <w:rsid w:val="0058168D"/>
    <w:rsid w:val="005F74F8"/>
    <w:rsid w:val="006E7FB1"/>
    <w:rsid w:val="00741B9E"/>
    <w:rsid w:val="007C2F04"/>
    <w:rsid w:val="007D5469"/>
    <w:rsid w:val="009144C1"/>
    <w:rsid w:val="009166E7"/>
    <w:rsid w:val="00964FC0"/>
    <w:rsid w:val="009C56F7"/>
    <w:rsid w:val="009D71E8"/>
    <w:rsid w:val="00AA4201"/>
    <w:rsid w:val="00AD4FA8"/>
    <w:rsid w:val="00C54976"/>
    <w:rsid w:val="00D33FE5"/>
    <w:rsid w:val="00D40E51"/>
    <w:rsid w:val="00D4400C"/>
    <w:rsid w:val="00E2360F"/>
    <w:rsid w:val="00E34691"/>
    <w:rsid w:val="00E66558"/>
    <w:rsid w:val="00EA6BF1"/>
    <w:rsid w:val="00F123EE"/>
    <w:rsid w:val="00FC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hgkelc">
    <w:name w:val="hgkelc"/>
    <w:basedOn w:val="DefaultParagraphFont"/>
    <w:rsid w:val="000D6F39"/>
  </w:style>
  <w:style w:type="paragraph" w:styleId="NoSpacing">
    <w:name w:val="No Spacing"/>
    <w:uiPriority w:val="1"/>
    <w:qFormat/>
    <w:rsid w:val="001E5E57"/>
    <w:pPr>
      <w:suppressAutoHyphens/>
    </w:pPr>
    <w:rPr>
      <w:color w:val="0D0D0D"/>
      <w:sz w:val="24"/>
      <w:szCs w:val="24"/>
    </w:rPr>
  </w:style>
  <w:style w:type="table" w:customStyle="1" w:styleId="TableGrid">
    <w:name w:val="TableGrid"/>
    <w:rsid w:val="00E2360F"/>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2016">
      <w:bodyDiv w:val="1"/>
      <w:marLeft w:val="0"/>
      <w:marRight w:val="0"/>
      <w:marTop w:val="0"/>
      <w:marBottom w:val="0"/>
      <w:divBdr>
        <w:top w:val="none" w:sz="0" w:space="0" w:color="auto"/>
        <w:left w:val="none" w:sz="0" w:space="0" w:color="auto"/>
        <w:bottom w:val="none" w:sz="0" w:space="0" w:color="auto"/>
        <w:right w:val="none" w:sz="0" w:space="0" w:color="auto"/>
      </w:divBdr>
      <w:divsChild>
        <w:div w:id="994602164">
          <w:marLeft w:val="0"/>
          <w:marRight w:val="0"/>
          <w:marTop w:val="0"/>
          <w:marBottom w:val="0"/>
          <w:divBdr>
            <w:top w:val="none" w:sz="0" w:space="0" w:color="auto"/>
            <w:left w:val="none" w:sz="0" w:space="0" w:color="auto"/>
            <w:bottom w:val="none" w:sz="0" w:space="0" w:color="auto"/>
            <w:right w:val="none" w:sz="0" w:space="0" w:color="auto"/>
          </w:divBdr>
          <w:divsChild>
            <w:div w:id="2142069788">
              <w:marLeft w:val="0"/>
              <w:marRight w:val="0"/>
              <w:marTop w:val="180"/>
              <w:marBottom w:val="180"/>
              <w:divBdr>
                <w:top w:val="none" w:sz="0" w:space="0" w:color="auto"/>
                <w:left w:val="none" w:sz="0" w:space="0" w:color="auto"/>
                <w:bottom w:val="none" w:sz="0" w:space="0" w:color="auto"/>
                <w:right w:val="none" w:sz="0" w:space="0" w:color="auto"/>
              </w:divBdr>
            </w:div>
          </w:divsChild>
        </w:div>
        <w:div w:id="169372270">
          <w:marLeft w:val="0"/>
          <w:marRight w:val="0"/>
          <w:marTop w:val="0"/>
          <w:marBottom w:val="0"/>
          <w:divBdr>
            <w:top w:val="none" w:sz="0" w:space="0" w:color="auto"/>
            <w:left w:val="none" w:sz="0" w:space="0" w:color="auto"/>
            <w:bottom w:val="none" w:sz="0" w:space="0" w:color="auto"/>
            <w:right w:val="none" w:sz="0" w:space="0" w:color="auto"/>
          </w:divBdr>
          <w:divsChild>
            <w:div w:id="103892787">
              <w:marLeft w:val="0"/>
              <w:marRight w:val="0"/>
              <w:marTop w:val="0"/>
              <w:marBottom w:val="0"/>
              <w:divBdr>
                <w:top w:val="none" w:sz="0" w:space="0" w:color="auto"/>
                <w:left w:val="none" w:sz="0" w:space="0" w:color="auto"/>
                <w:bottom w:val="none" w:sz="0" w:space="0" w:color="auto"/>
                <w:right w:val="none" w:sz="0" w:space="0" w:color="auto"/>
              </w:divBdr>
              <w:divsChild>
                <w:div w:id="1252280268">
                  <w:marLeft w:val="0"/>
                  <w:marRight w:val="0"/>
                  <w:marTop w:val="0"/>
                  <w:marBottom w:val="0"/>
                  <w:divBdr>
                    <w:top w:val="none" w:sz="0" w:space="0" w:color="auto"/>
                    <w:left w:val="none" w:sz="0" w:space="0" w:color="auto"/>
                    <w:bottom w:val="none" w:sz="0" w:space="0" w:color="auto"/>
                    <w:right w:val="none" w:sz="0" w:space="0" w:color="auto"/>
                  </w:divBdr>
                  <w:divsChild>
                    <w:div w:id="177349309">
                      <w:marLeft w:val="0"/>
                      <w:marRight w:val="0"/>
                      <w:marTop w:val="0"/>
                      <w:marBottom w:val="0"/>
                      <w:divBdr>
                        <w:top w:val="none" w:sz="0" w:space="0" w:color="auto"/>
                        <w:left w:val="none" w:sz="0" w:space="0" w:color="auto"/>
                        <w:bottom w:val="none" w:sz="0" w:space="0" w:color="auto"/>
                        <w:right w:val="none" w:sz="0" w:space="0" w:color="auto"/>
                      </w:divBdr>
                      <w:divsChild>
                        <w:div w:id="732195627">
                          <w:marLeft w:val="0"/>
                          <w:marRight w:val="0"/>
                          <w:marTop w:val="0"/>
                          <w:marBottom w:val="0"/>
                          <w:divBdr>
                            <w:top w:val="none" w:sz="0" w:space="0" w:color="auto"/>
                            <w:left w:val="none" w:sz="0" w:space="0" w:color="auto"/>
                            <w:bottom w:val="none" w:sz="0" w:space="0" w:color="auto"/>
                            <w:right w:val="none" w:sz="0" w:space="0" w:color="auto"/>
                          </w:divBdr>
                          <w:divsChild>
                            <w:div w:id="696589642">
                              <w:marLeft w:val="300"/>
                              <w:marRight w:val="0"/>
                              <w:marTop w:val="0"/>
                              <w:marBottom w:val="0"/>
                              <w:divBdr>
                                <w:top w:val="none" w:sz="0" w:space="0" w:color="auto"/>
                                <w:left w:val="none" w:sz="0" w:space="0" w:color="auto"/>
                                <w:bottom w:val="none" w:sz="0" w:space="0" w:color="auto"/>
                                <w:right w:val="none" w:sz="0" w:space="0" w:color="auto"/>
                              </w:divBdr>
                              <w:divsChild>
                                <w:div w:id="2052727948">
                                  <w:marLeft w:val="0"/>
                                  <w:marRight w:val="0"/>
                                  <w:marTop w:val="0"/>
                                  <w:marBottom w:val="0"/>
                                  <w:divBdr>
                                    <w:top w:val="none" w:sz="0" w:space="0" w:color="auto"/>
                                    <w:left w:val="none" w:sz="0" w:space="0" w:color="auto"/>
                                    <w:bottom w:val="none" w:sz="0" w:space="0" w:color="auto"/>
                                    <w:right w:val="none" w:sz="0" w:space="0" w:color="auto"/>
                                  </w:divBdr>
                                  <w:divsChild>
                                    <w:div w:id="1889758222">
                                      <w:marLeft w:val="0"/>
                                      <w:marRight w:val="0"/>
                                      <w:marTop w:val="0"/>
                                      <w:marBottom w:val="0"/>
                                      <w:divBdr>
                                        <w:top w:val="none" w:sz="0" w:space="0" w:color="auto"/>
                                        <w:left w:val="none" w:sz="0" w:space="0" w:color="auto"/>
                                        <w:bottom w:val="none" w:sz="0" w:space="0" w:color="auto"/>
                                        <w:right w:val="none" w:sz="0" w:space="0" w:color="auto"/>
                                      </w:divBdr>
                                      <w:divsChild>
                                        <w:div w:id="1798065060">
                                          <w:marLeft w:val="0"/>
                                          <w:marRight w:val="0"/>
                                          <w:marTop w:val="0"/>
                                          <w:marBottom w:val="0"/>
                                          <w:divBdr>
                                            <w:top w:val="none" w:sz="0" w:space="0" w:color="auto"/>
                                            <w:left w:val="none" w:sz="0" w:space="0" w:color="auto"/>
                                            <w:bottom w:val="none" w:sz="0" w:space="0" w:color="auto"/>
                                            <w:right w:val="none" w:sz="0" w:space="0" w:color="auto"/>
                                          </w:divBdr>
                                          <w:divsChild>
                                            <w:div w:id="889464097">
                                              <w:marLeft w:val="0"/>
                                              <w:marRight w:val="0"/>
                                              <w:marTop w:val="0"/>
                                              <w:marBottom w:val="0"/>
                                              <w:divBdr>
                                                <w:top w:val="none" w:sz="0" w:space="0" w:color="auto"/>
                                                <w:left w:val="none" w:sz="0" w:space="0" w:color="auto"/>
                                                <w:bottom w:val="none" w:sz="0" w:space="0" w:color="auto"/>
                                                <w:right w:val="none" w:sz="0" w:space="0" w:color="auto"/>
                                              </w:divBdr>
                                              <w:divsChild>
                                                <w:div w:id="666833172">
                                                  <w:marLeft w:val="0"/>
                                                  <w:marRight w:val="0"/>
                                                  <w:marTop w:val="0"/>
                                                  <w:marBottom w:val="0"/>
                                                  <w:divBdr>
                                                    <w:top w:val="none" w:sz="0" w:space="0" w:color="auto"/>
                                                    <w:left w:val="none" w:sz="0" w:space="0" w:color="auto"/>
                                                    <w:bottom w:val="none" w:sz="0" w:space="0" w:color="auto"/>
                                                    <w:right w:val="none" w:sz="0" w:space="0" w:color="auto"/>
                                                  </w:divBdr>
                                                  <w:divsChild>
                                                    <w:div w:id="15884200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04694">
                      <w:marLeft w:val="0"/>
                      <w:marRight w:val="0"/>
                      <w:marTop w:val="0"/>
                      <w:marBottom w:val="0"/>
                      <w:divBdr>
                        <w:top w:val="none" w:sz="0" w:space="0" w:color="auto"/>
                        <w:left w:val="none" w:sz="0" w:space="0" w:color="auto"/>
                        <w:bottom w:val="none" w:sz="0" w:space="0" w:color="auto"/>
                        <w:right w:val="none" w:sz="0" w:space="0" w:color="auto"/>
                      </w:divBdr>
                      <w:divsChild>
                        <w:div w:id="1081179363">
                          <w:marLeft w:val="0"/>
                          <w:marRight w:val="0"/>
                          <w:marTop w:val="0"/>
                          <w:marBottom w:val="0"/>
                          <w:divBdr>
                            <w:top w:val="none" w:sz="0" w:space="0" w:color="auto"/>
                            <w:left w:val="none" w:sz="0" w:space="0" w:color="auto"/>
                            <w:bottom w:val="none" w:sz="0" w:space="0" w:color="auto"/>
                            <w:right w:val="none" w:sz="0" w:space="0" w:color="auto"/>
                          </w:divBdr>
                          <w:divsChild>
                            <w:div w:id="10622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57230">
      <w:bodyDiv w:val="1"/>
      <w:marLeft w:val="0"/>
      <w:marRight w:val="0"/>
      <w:marTop w:val="0"/>
      <w:marBottom w:val="0"/>
      <w:divBdr>
        <w:top w:val="none" w:sz="0" w:space="0" w:color="auto"/>
        <w:left w:val="none" w:sz="0" w:space="0" w:color="auto"/>
        <w:bottom w:val="none" w:sz="0" w:space="0" w:color="auto"/>
        <w:right w:val="none" w:sz="0" w:space="0" w:color="auto"/>
      </w:divBdr>
      <w:divsChild>
        <w:div w:id="537548311">
          <w:marLeft w:val="0"/>
          <w:marRight w:val="0"/>
          <w:marTop w:val="0"/>
          <w:marBottom w:val="0"/>
          <w:divBdr>
            <w:top w:val="none" w:sz="0" w:space="0" w:color="auto"/>
            <w:left w:val="none" w:sz="0" w:space="0" w:color="auto"/>
            <w:bottom w:val="none" w:sz="0" w:space="0" w:color="auto"/>
            <w:right w:val="none" w:sz="0" w:space="0" w:color="auto"/>
          </w:divBdr>
          <w:divsChild>
            <w:div w:id="1671133867">
              <w:marLeft w:val="0"/>
              <w:marRight w:val="0"/>
              <w:marTop w:val="180"/>
              <w:marBottom w:val="180"/>
              <w:divBdr>
                <w:top w:val="none" w:sz="0" w:space="0" w:color="auto"/>
                <w:left w:val="none" w:sz="0" w:space="0" w:color="auto"/>
                <w:bottom w:val="none" w:sz="0" w:space="0" w:color="auto"/>
                <w:right w:val="none" w:sz="0" w:space="0" w:color="auto"/>
              </w:divBdr>
            </w:div>
          </w:divsChild>
        </w:div>
        <w:div w:id="1720663060">
          <w:marLeft w:val="0"/>
          <w:marRight w:val="0"/>
          <w:marTop w:val="0"/>
          <w:marBottom w:val="0"/>
          <w:divBdr>
            <w:top w:val="none" w:sz="0" w:space="0" w:color="auto"/>
            <w:left w:val="none" w:sz="0" w:space="0" w:color="auto"/>
            <w:bottom w:val="none" w:sz="0" w:space="0" w:color="auto"/>
            <w:right w:val="none" w:sz="0" w:space="0" w:color="auto"/>
          </w:divBdr>
          <w:divsChild>
            <w:div w:id="1341616359">
              <w:marLeft w:val="0"/>
              <w:marRight w:val="0"/>
              <w:marTop w:val="0"/>
              <w:marBottom w:val="0"/>
              <w:divBdr>
                <w:top w:val="none" w:sz="0" w:space="0" w:color="auto"/>
                <w:left w:val="none" w:sz="0" w:space="0" w:color="auto"/>
                <w:bottom w:val="none" w:sz="0" w:space="0" w:color="auto"/>
                <w:right w:val="none" w:sz="0" w:space="0" w:color="auto"/>
              </w:divBdr>
              <w:divsChild>
                <w:div w:id="1103694781">
                  <w:marLeft w:val="0"/>
                  <w:marRight w:val="0"/>
                  <w:marTop w:val="0"/>
                  <w:marBottom w:val="0"/>
                  <w:divBdr>
                    <w:top w:val="none" w:sz="0" w:space="0" w:color="auto"/>
                    <w:left w:val="none" w:sz="0" w:space="0" w:color="auto"/>
                    <w:bottom w:val="none" w:sz="0" w:space="0" w:color="auto"/>
                    <w:right w:val="none" w:sz="0" w:space="0" w:color="auto"/>
                  </w:divBdr>
                  <w:divsChild>
                    <w:div w:id="239104563">
                      <w:marLeft w:val="0"/>
                      <w:marRight w:val="0"/>
                      <w:marTop w:val="0"/>
                      <w:marBottom w:val="0"/>
                      <w:divBdr>
                        <w:top w:val="none" w:sz="0" w:space="0" w:color="auto"/>
                        <w:left w:val="none" w:sz="0" w:space="0" w:color="auto"/>
                        <w:bottom w:val="none" w:sz="0" w:space="0" w:color="auto"/>
                        <w:right w:val="none" w:sz="0" w:space="0" w:color="auto"/>
                      </w:divBdr>
                      <w:divsChild>
                        <w:div w:id="1845631412">
                          <w:marLeft w:val="0"/>
                          <w:marRight w:val="0"/>
                          <w:marTop w:val="0"/>
                          <w:marBottom w:val="0"/>
                          <w:divBdr>
                            <w:top w:val="none" w:sz="0" w:space="0" w:color="auto"/>
                            <w:left w:val="none" w:sz="0" w:space="0" w:color="auto"/>
                            <w:bottom w:val="none" w:sz="0" w:space="0" w:color="auto"/>
                            <w:right w:val="none" w:sz="0" w:space="0" w:color="auto"/>
                          </w:divBdr>
                          <w:divsChild>
                            <w:div w:id="16336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59753">
      <w:bodyDiv w:val="1"/>
      <w:marLeft w:val="0"/>
      <w:marRight w:val="0"/>
      <w:marTop w:val="0"/>
      <w:marBottom w:val="0"/>
      <w:divBdr>
        <w:top w:val="none" w:sz="0" w:space="0" w:color="auto"/>
        <w:left w:val="none" w:sz="0" w:space="0" w:color="auto"/>
        <w:bottom w:val="none" w:sz="0" w:space="0" w:color="auto"/>
        <w:right w:val="none" w:sz="0" w:space="0" w:color="auto"/>
      </w:divBdr>
      <w:divsChild>
        <w:div w:id="2147041729">
          <w:marLeft w:val="0"/>
          <w:marRight w:val="0"/>
          <w:marTop w:val="0"/>
          <w:marBottom w:val="0"/>
          <w:divBdr>
            <w:top w:val="none" w:sz="0" w:space="0" w:color="auto"/>
            <w:left w:val="none" w:sz="0" w:space="0" w:color="auto"/>
            <w:bottom w:val="none" w:sz="0" w:space="0" w:color="auto"/>
            <w:right w:val="none" w:sz="0" w:space="0" w:color="auto"/>
          </w:divBdr>
          <w:divsChild>
            <w:div w:id="422143460">
              <w:marLeft w:val="0"/>
              <w:marRight w:val="0"/>
              <w:marTop w:val="180"/>
              <w:marBottom w:val="180"/>
              <w:divBdr>
                <w:top w:val="none" w:sz="0" w:space="0" w:color="auto"/>
                <w:left w:val="none" w:sz="0" w:space="0" w:color="auto"/>
                <w:bottom w:val="none" w:sz="0" w:space="0" w:color="auto"/>
                <w:right w:val="none" w:sz="0" w:space="0" w:color="auto"/>
              </w:divBdr>
            </w:div>
          </w:divsChild>
        </w:div>
        <w:div w:id="1996566447">
          <w:marLeft w:val="0"/>
          <w:marRight w:val="0"/>
          <w:marTop w:val="0"/>
          <w:marBottom w:val="0"/>
          <w:divBdr>
            <w:top w:val="none" w:sz="0" w:space="0" w:color="auto"/>
            <w:left w:val="none" w:sz="0" w:space="0" w:color="auto"/>
            <w:bottom w:val="none" w:sz="0" w:space="0" w:color="auto"/>
            <w:right w:val="none" w:sz="0" w:space="0" w:color="auto"/>
          </w:divBdr>
          <w:divsChild>
            <w:div w:id="381946690">
              <w:marLeft w:val="0"/>
              <w:marRight w:val="0"/>
              <w:marTop w:val="0"/>
              <w:marBottom w:val="0"/>
              <w:divBdr>
                <w:top w:val="none" w:sz="0" w:space="0" w:color="auto"/>
                <w:left w:val="none" w:sz="0" w:space="0" w:color="auto"/>
                <w:bottom w:val="none" w:sz="0" w:space="0" w:color="auto"/>
                <w:right w:val="none" w:sz="0" w:space="0" w:color="auto"/>
              </w:divBdr>
              <w:divsChild>
                <w:div w:id="554317438">
                  <w:marLeft w:val="0"/>
                  <w:marRight w:val="0"/>
                  <w:marTop w:val="0"/>
                  <w:marBottom w:val="0"/>
                  <w:divBdr>
                    <w:top w:val="none" w:sz="0" w:space="0" w:color="auto"/>
                    <w:left w:val="none" w:sz="0" w:space="0" w:color="auto"/>
                    <w:bottom w:val="none" w:sz="0" w:space="0" w:color="auto"/>
                    <w:right w:val="none" w:sz="0" w:space="0" w:color="auto"/>
                  </w:divBdr>
                  <w:divsChild>
                    <w:div w:id="1670208716">
                      <w:marLeft w:val="0"/>
                      <w:marRight w:val="0"/>
                      <w:marTop w:val="0"/>
                      <w:marBottom w:val="0"/>
                      <w:divBdr>
                        <w:top w:val="none" w:sz="0" w:space="0" w:color="auto"/>
                        <w:left w:val="none" w:sz="0" w:space="0" w:color="auto"/>
                        <w:bottom w:val="none" w:sz="0" w:space="0" w:color="auto"/>
                        <w:right w:val="none" w:sz="0" w:space="0" w:color="auto"/>
                      </w:divBdr>
                      <w:divsChild>
                        <w:div w:id="733619986">
                          <w:marLeft w:val="0"/>
                          <w:marRight w:val="0"/>
                          <w:marTop w:val="0"/>
                          <w:marBottom w:val="0"/>
                          <w:divBdr>
                            <w:top w:val="none" w:sz="0" w:space="0" w:color="auto"/>
                            <w:left w:val="none" w:sz="0" w:space="0" w:color="auto"/>
                            <w:bottom w:val="none" w:sz="0" w:space="0" w:color="auto"/>
                            <w:right w:val="none" w:sz="0" w:space="0" w:color="auto"/>
                          </w:divBdr>
                          <w:divsChild>
                            <w:div w:id="8095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Jose Lewis</cp:lastModifiedBy>
  <cp:revision>2</cp:revision>
  <cp:lastPrinted>2021-11-26T14:54:00Z</cp:lastPrinted>
  <dcterms:created xsi:type="dcterms:W3CDTF">2023-09-11T14:42:00Z</dcterms:created>
  <dcterms:modified xsi:type="dcterms:W3CDTF">2023-09-11T14:42:00Z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